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0BF" w14:textId="77777777" w:rsidR="006544B5" w:rsidRPr="00495A75" w:rsidRDefault="006544B5" w:rsidP="00216E7B">
      <w:pPr>
        <w:keepNext/>
        <w:suppressAutoHyphens/>
        <w:spacing w:line="276" w:lineRule="auto"/>
        <w:contextualSpacing/>
        <w:jc w:val="center"/>
        <w:outlineLvl w:val="0"/>
        <w:rPr>
          <w:rFonts w:eastAsia="Calibri" w:cstheme="minorHAnsi"/>
          <w:b/>
          <w:bCs/>
          <w:sz w:val="44"/>
          <w:szCs w:val="44"/>
          <w:lang w:eastAsia="ar-SA"/>
        </w:rPr>
      </w:pPr>
      <w:r w:rsidRPr="00495A75">
        <w:rPr>
          <w:rFonts w:eastAsia="Calibri" w:cstheme="minorHAnsi"/>
          <w:b/>
          <w:bCs/>
          <w:kern w:val="1"/>
          <w:sz w:val="44"/>
          <w:szCs w:val="44"/>
          <w:lang w:eastAsia="ar-SA"/>
        </w:rPr>
        <w:t>MEETING SUMMARY</w:t>
      </w:r>
    </w:p>
    <w:p w14:paraId="45E290FF" w14:textId="505A1DA7" w:rsidR="006544B5" w:rsidRPr="00495A75" w:rsidRDefault="006544B5" w:rsidP="00216E7B">
      <w:pPr>
        <w:keepNext/>
        <w:numPr>
          <w:ilvl w:val="0"/>
          <w:numId w:val="1"/>
        </w:numPr>
        <w:suppressAutoHyphens/>
        <w:spacing w:line="276" w:lineRule="auto"/>
        <w:contextualSpacing/>
        <w:jc w:val="center"/>
        <w:outlineLvl w:val="0"/>
        <w:rPr>
          <w:rFonts w:eastAsia="Calibri" w:cstheme="minorHAnsi"/>
          <w:b/>
          <w:bCs/>
          <w:lang w:eastAsia="ar-SA"/>
        </w:rPr>
      </w:pPr>
      <w:r w:rsidRPr="00495A75">
        <w:rPr>
          <w:rFonts w:eastAsia="Calibri" w:cstheme="minorHAnsi"/>
          <w:b/>
          <w:bCs/>
          <w:kern w:val="1"/>
          <w:lang w:eastAsia="ar-SA"/>
        </w:rPr>
        <w:t>National Collaborative on Childhood Obesity Research (NCCOR)</w:t>
      </w:r>
      <w:r w:rsidR="00AF7BCE" w:rsidRPr="00495A75">
        <w:rPr>
          <w:rFonts w:eastAsia="Calibri" w:cstheme="minorHAnsi"/>
          <w:b/>
          <w:bCs/>
          <w:kern w:val="1"/>
          <w:lang w:eastAsia="ar-SA"/>
        </w:rPr>
        <w:t xml:space="preserve"> </w:t>
      </w:r>
      <w:r w:rsidRPr="00495A75">
        <w:rPr>
          <w:rFonts w:eastAsia="Calibri" w:cstheme="minorHAnsi"/>
          <w:b/>
          <w:bCs/>
          <w:kern w:val="1"/>
          <w:lang w:eastAsia="ar-SA"/>
        </w:rPr>
        <w:t>Member Meeting</w:t>
      </w:r>
    </w:p>
    <w:p w14:paraId="7EB706EA" w14:textId="75C65680" w:rsidR="006544B5" w:rsidRPr="00616FF4" w:rsidRDefault="00C87D2E" w:rsidP="00216E7B">
      <w:pPr>
        <w:tabs>
          <w:tab w:val="left" w:pos="2520"/>
        </w:tabs>
        <w:spacing w:line="276" w:lineRule="auto"/>
        <w:contextualSpacing/>
        <w:jc w:val="center"/>
        <w:rPr>
          <w:rFonts w:eastAsia="Calibri" w:cstheme="minorHAnsi"/>
          <w:i/>
          <w:iCs/>
          <w:sz w:val="22"/>
          <w:szCs w:val="22"/>
        </w:rPr>
      </w:pPr>
      <w:r w:rsidRPr="00616FF4">
        <w:rPr>
          <w:rFonts w:eastAsia="Calibri" w:cstheme="minorHAnsi"/>
          <w:i/>
          <w:iCs/>
          <w:sz w:val="22"/>
          <w:szCs w:val="22"/>
        </w:rPr>
        <w:t>Wednesday</w:t>
      </w:r>
      <w:r w:rsidR="006544B5" w:rsidRPr="00616FF4">
        <w:rPr>
          <w:rFonts w:eastAsia="Calibri" w:cstheme="minorHAnsi"/>
          <w:i/>
          <w:iCs/>
          <w:sz w:val="22"/>
          <w:szCs w:val="22"/>
        </w:rPr>
        <w:t>,</w:t>
      </w:r>
      <w:r w:rsidRPr="00616FF4">
        <w:rPr>
          <w:rFonts w:eastAsia="Calibri" w:cstheme="minorHAnsi"/>
          <w:i/>
          <w:iCs/>
          <w:sz w:val="22"/>
          <w:szCs w:val="22"/>
        </w:rPr>
        <w:t xml:space="preserve"> June 15,</w:t>
      </w:r>
      <w:r w:rsidR="006544B5" w:rsidRPr="00616FF4">
        <w:rPr>
          <w:rFonts w:eastAsia="Calibri" w:cstheme="minorHAnsi"/>
          <w:i/>
          <w:iCs/>
          <w:sz w:val="22"/>
          <w:szCs w:val="22"/>
        </w:rPr>
        <w:t xml:space="preserve"> </w:t>
      </w:r>
      <w:proofErr w:type="gramStart"/>
      <w:r w:rsidR="006544B5" w:rsidRPr="00616FF4">
        <w:rPr>
          <w:rFonts w:eastAsia="Calibri" w:cstheme="minorHAnsi"/>
          <w:i/>
          <w:iCs/>
          <w:sz w:val="22"/>
          <w:szCs w:val="22"/>
        </w:rPr>
        <w:t>2022</w:t>
      </w:r>
      <w:proofErr w:type="gramEnd"/>
      <w:r w:rsidR="00037ED6" w:rsidRPr="00616FF4">
        <w:rPr>
          <w:rFonts w:eastAsia="Calibri" w:cstheme="minorHAnsi"/>
          <w:i/>
          <w:iCs/>
          <w:sz w:val="22"/>
          <w:szCs w:val="22"/>
        </w:rPr>
        <w:t xml:space="preserve"> | </w:t>
      </w:r>
      <w:r w:rsidRPr="00616FF4">
        <w:rPr>
          <w:rFonts w:eastAsia="Calibri" w:cstheme="minorHAnsi"/>
          <w:i/>
          <w:iCs/>
          <w:sz w:val="22"/>
          <w:szCs w:val="22"/>
        </w:rPr>
        <w:t>2</w:t>
      </w:r>
      <w:r w:rsidR="006544B5" w:rsidRPr="00616FF4">
        <w:rPr>
          <w:rFonts w:eastAsia="Calibri" w:cstheme="minorHAnsi"/>
          <w:i/>
          <w:iCs/>
          <w:sz w:val="22"/>
          <w:szCs w:val="22"/>
        </w:rPr>
        <w:t>:00–</w:t>
      </w:r>
      <w:r w:rsidRPr="00616FF4">
        <w:rPr>
          <w:rFonts w:eastAsia="Calibri" w:cstheme="minorHAnsi"/>
          <w:i/>
          <w:iCs/>
          <w:sz w:val="22"/>
          <w:szCs w:val="22"/>
        </w:rPr>
        <w:t>4</w:t>
      </w:r>
      <w:r w:rsidR="006544B5" w:rsidRPr="00616FF4">
        <w:rPr>
          <w:rFonts w:eastAsia="Calibri" w:cstheme="minorHAnsi"/>
          <w:i/>
          <w:iCs/>
          <w:sz w:val="22"/>
          <w:szCs w:val="22"/>
        </w:rPr>
        <w:t>:</w:t>
      </w:r>
      <w:r w:rsidRPr="00616FF4">
        <w:rPr>
          <w:rFonts w:eastAsia="Calibri" w:cstheme="minorHAnsi"/>
          <w:i/>
          <w:iCs/>
          <w:sz w:val="22"/>
          <w:szCs w:val="22"/>
        </w:rPr>
        <w:t>3</w:t>
      </w:r>
      <w:r w:rsidR="006544B5" w:rsidRPr="00616FF4">
        <w:rPr>
          <w:rFonts w:eastAsia="Calibri" w:cstheme="minorHAnsi"/>
          <w:i/>
          <w:iCs/>
          <w:sz w:val="22"/>
          <w:szCs w:val="22"/>
        </w:rPr>
        <w:t xml:space="preserve">0 p.m. ET </w:t>
      </w:r>
    </w:p>
    <w:p w14:paraId="6D0EEB98" w14:textId="11258DF0" w:rsidR="002B4E32" w:rsidRPr="00616FF4" w:rsidRDefault="006544B5" w:rsidP="00216E7B">
      <w:pPr>
        <w:tabs>
          <w:tab w:val="left" w:pos="2520"/>
        </w:tabs>
        <w:spacing w:line="276" w:lineRule="auto"/>
        <w:contextualSpacing/>
        <w:jc w:val="center"/>
        <w:rPr>
          <w:rStyle w:val="Hyperlink"/>
          <w:rFonts w:eastAsia="Calibri" w:cstheme="minorHAnsi"/>
          <w:i/>
          <w:iCs/>
          <w:sz w:val="22"/>
          <w:szCs w:val="22"/>
        </w:rPr>
      </w:pPr>
      <w:r w:rsidRPr="00616FF4">
        <w:rPr>
          <w:rFonts w:eastAsia="Calibri" w:cstheme="minorHAnsi"/>
          <w:i/>
          <w:iCs/>
          <w:sz w:val="22"/>
          <w:szCs w:val="22"/>
        </w:rPr>
        <w:t xml:space="preserve">Meeting </w:t>
      </w:r>
      <w:hyperlink r:id="rId11" w:history="1">
        <w:r w:rsidRPr="00616FF4">
          <w:rPr>
            <w:rStyle w:val="Hyperlink"/>
            <w:rFonts w:eastAsia="Calibri" w:cstheme="minorHAnsi"/>
            <w:i/>
            <w:iCs/>
            <w:sz w:val="22"/>
            <w:szCs w:val="22"/>
          </w:rPr>
          <w:t>recording</w:t>
        </w:r>
      </w:hyperlink>
      <w:r w:rsidR="00C87D2E" w:rsidRPr="00616FF4">
        <w:rPr>
          <w:rFonts w:eastAsia="Calibri" w:cstheme="minorHAnsi"/>
          <w:i/>
          <w:iCs/>
          <w:sz w:val="22"/>
          <w:szCs w:val="22"/>
        </w:rPr>
        <w:t xml:space="preserve"> (passcode: </w:t>
      </w:r>
      <w:proofErr w:type="spellStart"/>
      <w:r w:rsidR="00C87D2E" w:rsidRPr="00616FF4">
        <w:rPr>
          <w:rFonts w:eastAsia="Calibri" w:cstheme="minorHAnsi"/>
          <w:i/>
          <w:iCs/>
          <w:sz w:val="22"/>
          <w:szCs w:val="22"/>
        </w:rPr>
        <w:t>H.gCQW</w:t>
      </w:r>
      <w:proofErr w:type="spellEnd"/>
      <w:r w:rsidR="00C87D2E" w:rsidRPr="00616FF4">
        <w:rPr>
          <w:rFonts w:eastAsia="Calibri" w:cstheme="minorHAnsi"/>
          <w:i/>
          <w:iCs/>
          <w:sz w:val="22"/>
          <w:szCs w:val="22"/>
        </w:rPr>
        <w:t>+%)</w:t>
      </w:r>
      <w:r w:rsidR="00037ED6" w:rsidRPr="00616FF4">
        <w:rPr>
          <w:rFonts w:eastAsia="Calibri" w:cstheme="minorHAnsi"/>
          <w:i/>
          <w:iCs/>
          <w:sz w:val="22"/>
          <w:szCs w:val="22"/>
        </w:rPr>
        <w:t xml:space="preserve"> and </w:t>
      </w:r>
      <w:hyperlink r:id="rId12" w:history="1">
        <w:r w:rsidR="002B4E32" w:rsidRPr="00616FF4">
          <w:rPr>
            <w:rStyle w:val="Hyperlink"/>
            <w:rFonts w:eastAsia="Calibri" w:cstheme="minorHAnsi"/>
            <w:i/>
            <w:iCs/>
            <w:sz w:val="22"/>
            <w:szCs w:val="22"/>
          </w:rPr>
          <w:t>slides</w:t>
        </w:r>
      </w:hyperlink>
    </w:p>
    <w:p w14:paraId="40C9A763" w14:textId="230E5EFA" w:rsidR="000031FD" w:rsidRPr="00616FF4" w:rsidRDefault="000031FD" w:rsidP="00216E7B">
      <w:pPr>
        <w:spacing w:line="276" w:lineRule="auto"/>
        <w:contextualSpacing/>
        <w:rPr>
          <w:rFonts w:eastAsia="Calibri" w:cstheme="minorHAnsi"/>
          <w:sz w:val="22"/>
          <w:szCs w:val="22"/>
        </w:rPr>
      </w:pPr>
      <w:r w:rsidRPr="00616FF4">
        <w:rPr>
          <w:rFonts w:cstheme="minorHAnsi"/>
          <w:noProof/>
          <w:sz w:val="22"/>
          <w:szCs w:val="22"/>
        </w:rPr>
        <w:drawing>
          <wp:inline distT="0" distB="0" distL="0" distR="0" wp14:anchorId="6097C10B" wp14:editId="38D5B5B6">
            <wp:extent cx="9525" cy="9525"/>
            <wp:effectExtent l="0" t="0" r="0" b="0"/>
            <wp:docPr id="2020575633" name="Picture 202057563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16FF4">
        <w:rPr>
          <w:rFonts w:eastAsia="Calibri" w:cstheme="minorHAnsi"/>
          <w:noProof/>
          <w:sz w:val="22"/>
          <w:szCs w:val="22"/>
        </w:rPr>
        <mc:AlternateContent>
          <mc:Choice Requires="wps">
            <w:drawing>
              <wp:anchor distT="0" distB="0" distL="114300" distR="114300" simplePos="0" relativeHeight="251658240" behindDoc="0" locked="0" layoutInCell="1" allowOverlap="1" wp14:anchorId="35B50893" wp14:editId="7D16B96E">
                <wp:simplePos x="0" y="0"/>
                <wp:positionH relativeFrom="margin">
                  <wp:align>left</wp:align>
                </wp:positionH>
                <wp:positionV relativeFrom="paragraph">
                  <wp:posOffset>134620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ysClr val="window" lastClr="FFFFFF">
                              <a:lumMod val="85000"/>
                            </a:sysClr>
                          </a:solidFill>
                          <a:prstDash val="solid"/>
                          <a:miter lim="800000"/>
                        </a:ln>
                        <a:effectLst/>
                      </wps:spPr>
                      <wps:bodyPr/>
                    </wps:wsp>
                  </a:graphicData>
                </a:graphic>
              </wp:anchor>
            </w:drawing>
          </mc:Choice>
          <mc:Fallback>
            <w:pict>
              <v:line w14:anchorId="53F72176" id="Straight Connector 3"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0.6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" strokecolor="#d9d9d9" strokeweight=".5pt">
                <v:stroke joinstyle="miter"/>
                <w10:wrap anchorx="margin"/>
              </v:line>
            </w:pict>
          </mc:Fallback>
        </mc:AlternateContent>
      </w:r>
    </w:p>
    <w:p w14:paraId="29765F4A" w14:textId="7C970A67" w:rsidR="002B4E32" w:rsidRPr="00616FF4" w:rsidRDefault="002B4E32" w:rsidP="00216E7B">
      <w:pPr>
        <w:spacing w:line="276" w:lineRule="auto"/>
        <w:contextualSpacing/>
        <w:rPr>
          <w:rFonts w:cstheme="minorHAnsi"/>
          <w:b/>
          <w:color w:val="000000"/>
          <w:sz w:val="22"/>
          <w:szCs w:val="22"/>
          <w:shd w:val="clear" w:color="auto" w:fill="FFFFFF"/>
        </w:rPr>
      </w:pPr>
      <w:r w:rsidRPr="00616FF4">
        <w:rPr>
          <w:rFonts w:cstheme="minorHAnsi"/>
          <w:b/>
          <w:color w:val="000000"/>
          <w:sz w:val="22"/>
          <w:szCs w:val="22"/>
          <w:shd w:val="clear" w:color="auto" w:fill="FFFFFF"/>
        </w:rPr>
        <w:t>PARTICIPANTS</w:t>
      </w:r>
      <w:r w:rsidR="00646988" w:rsidRPr="00616FF4">
        <w:rPr>
          <w:rFonts w:cstheme="minorHAnsi"/>
          <w:b/>
          <w:color w:val="000000"/>
          <w:sz w:val="22"/>
          <w:szCs w:val="22"/>
          <w:shd w:val="clear" w:color="auto" w:fill="FFFFFF"/>
        </w:rPr>
        <w:t xml:space="preserve"> (n=</w:t>
      </w:r>
      <w:r w:rsidR="003E0FEF" w:rsidRPr="00616FF4">
        <w:rPr>
          <w:rFonts w:cstheme="minorHAnsi"/>
          <w:b/>
          <w:color w:val="000000"/>
          <w:sz w:val="22"/>
          <w:szCs w:val="22"/>
          <w:shd w:val="clear" w:color="auto" w:fill="FFFFFF"/>
        </w:rPr>
        <w:t>46</w:t>
      </w:r>
      <w:r w:rsidR="00646988" w:rsidRPr="00616FF4">
        <w:rPr>
          <w:rFonts w:cstheme="minorHAnsi"/>
          <w:b/>
          <w:color w:val="000000"/>
          <w:sz w:val="22"/>
          <w:szCs w:val="22"/>
          <w:shd w:val="clear" w:color="auto" w:fill="FFFFFF"/>
        </w:rPr>
        <w:t>)</w:t>
      </w:r>
    </w:p>
    <w:tbl>
      <w:tblPr>
        <w:tblStyle w:val="TableGrid11"/>
        <w:tblW w:w="0" w:type="auto"/>
        <w:tblInd w:w="0" w:type="dxa"/>
        <w:tblLook w:val="04A0" w:firstRow="1" w:lastRow="0" w:firstColumn="1" w:lastColumn="0" w:noHBand="0" w:noVBand="1"/>
      </w:tblPr>
      <w:tblGrid>
        <w:gridCol w:w="4675"/>
        <w:gridCol w:w="4675"/>
      </w:tblGrid>
      <w:tr w:rsidR="003E0FEF" w:rsidRPr="00616FF4" w14:paraId="1D4B195A" w14:textId="77777777" w:rsidTr="003E0FEF">
        <w:tc>
          <w:tcPr>
            <w:tcW w:w="4675" w:type="dxa"/>
            <w:tcBorders>
              <w:top w:val="single" w:sz="4" w:space="0" w:color="auto"/>
              <w:left w:val="single" w:sz="4" w:space="0" w:color="auto"/>
              <w:bottom w:val="single" w:sz="4" w:space="0" w:color="auto"/>
              <w:right w:val="single" w:sz="4" w:space="0" w:color="auto"/>
            </w:tcBorders>
          </w:tcPr>
          <w:p w14:paraId="74B5AF49" w14:textId="77777777" w:rsidR="003E0FEF" w:rsidRPr="00616FF4" w:rsidRDefault="003E0FEF" w:rsidP="00216E7B">
            <w:pPr>
              <w:spacing w:line="276" w:lineRule="auto"/>
              <w:contextualSpacing/>
              <w:rPr>
                <w:rFonts w:asciiTheme="minorHAnsi" w:hAnsiTheme="minorHAnsi" w:cstheme="minorHAnsi"/>
                <w:bCs/>
                <w:color w:val="000000"/>
                <w:shd w:val="clear" w:color="auto" w:fill="FFFFFF"/>
              </w:rPr>
            </w:pPr>
            <w:r w:rsidRPr="00616FF4">
              <w:rPr>
                <w:rFonts w:asciiTheme="minorHAnsi" w:hAnsiTheme="minorHAnsi" w:cstheme="minorHAnsi"/>
                <w:b/>
                <w:color w:val="000000"/>
                <w:shd w:val="clear" w:color="auto" w:fill="FFFFFF"/>
              </w:rPr>
              <w:t>CDC:</w:t>
            </w:r>
            <w:r w:rsidRPr="00616FF4">
              <w:rPr>
                <w:rFonts w:asciiTheme="minorHAnsi" w:hAnsiTheme="minorHAnsi" w:cstheme="minorHAnsi"/>
                <w:bCs/>
                <w:color w:val="000000"/>
                <w:shd w:val="clear" w:color="auto" w:fill="FFFFFF"/>
              </w:rPr>
              <w:t xml:space="preserve"> </w:t>
            </w:r>
          </w:p>
          <w:p w14:paraId="56821FE2" w14:textId="005E7C39" w:rsidR="003E0FEF" w:rsidRPr="00616FF4" w:rsidRDefault="003E0FEF" w:rsidP="00216E7B">
            <w:pPr>
              <w:spacing w:line="276" w:lineRule="auto"/>
              <w:contextualSpacing/>
              <w:rPr>
                <w:rFonts w:asciiTheme="minorHAnsi" w:hAnsiTheme="minorHAnsi" w:cstheme="minorHAnsi"/>
                <w:color w:val="000000"/>
              </w:rPr>
            </w:pPr>
            <w:r w:rsidRPr="00616FF4">
              <w:rPr>
                <w:rFonts w:asciiTheme="minorHAnsi" w:hAnsiTheme="minorHAnsi" w:cstheme="minorHAnsi"/>
                <w:color w:val="000000"/>
              </w:rPr>
              <w:t xml:space="preserve">H. </w:t>
            </w:r>
            <w:proofErr w:type="spellStart"/>
            <w:r w:rsidRPr="00616FF4">
              <w:rPr>
                <w:rFonts w:asciiTheme="minorHAnsi" w:hAnsiTheme="minorHAnsi" w:cstheme="minorHAnsi"/>
                <w:color w:val="000000"/>
              </w:rPr>
              <w:t>Blanck</w:t>
            </w:r>
            <w:proofErr w:type="spellEnd"/>
            <w:r w:rsidRPr="00616FF4">
              <w:rPr>
                <w:rFonts w:asciiTheme="minorHAnsi" w:hAnsiTheme="minorHAnsi" w:cstheme="minorHAnsi"/>
                <w:color w:val="000000"/>
              </w:rPr>
              <w:t xml:space="preserve">, D. </w:t>
            </w:r>
            <w:proofErr w:type="spellStart"/>
            <w:r w:rsidRPr="00616FF4">
              <w:rPr>
                <w:rFonts w:asciiTheme="minorHAnsi" w:hAnsiTheme="minorHAnsi" w:cstheme="minorHAnsi"/>
                <w:color w:val="000000"/>
              </w:rPr>
              <w:t>Ederer</w:t>
            </w:r>
            <w:proofErr w:type="spellEnd"/>
            <w:r w:rsidRPr="00616FF4">
              <w:rPr>
                <w:rFonts w:asciiTheme="minorHAnsi" w:hAnsiTheme="minorHAnsi" w:cstheme="minorHAnsi"/>
                <w:color w:val="000000"/>
              </w:rPr>
              <w:t xml:space="preserve">, J. Fulton, H. Hamner, D. Harris, E. Kraus, A. Kumar, S. </w:t>
            </w:r>
            <w:proofErr w:type="spellStart"/>
            <w:r w:rsidRPr="00616FF4">
              <w:rPr>
                <w:rFonts w:asciiTheme="minorHAnsi" w:hAnsiTheme="minorHAnsi" w:cstheme="minorHAnsi"/>
                <w:color w:val="000000"/>
              </w:rPr>
              <w:t>Onufrak</w:t>
            </w:r>
            <w:proofErr w:type="spellEnd"/>
            <w:r w:rsidRPr="00616FF4">
              <w:rPr>
                <w:rFonts w:asciiTheme="minorHAnsi" w:hAnsiTheme="minorHAnsi" w:cstheme="minorHAnsi"/>
                <w:color w:val="000000"/>
              </w:rPr>
              <w:t xml:space="preserve">, S. Park, Y. Park, K. Reddy, J. Seymour, S. </w:t>
            </w:r>
            <w:proofErr w:type="spellStart"/>
            <w:r w:rsidRPr="00616FF4">
              <w:rPr>
                <w:rFonts w:asciiTheme="minorHAnsi" w:hAnsiTheme="minorHAnsi" w:cstheme="minorHAnsi"/>
                <w:color w:val="000000"/>
              </w:rPr>
              <w:t>Sliwa</w:t>
            </w:r>
            <w:proofErr w:type="spellEnd"/>
            <w:r w:rsidRPr="00616FF4">
              <w:rPr>
                <w:rFonts w:asciiTheme="minorHAnsi" w:hAnsiTheme="minorHAnsi" w:cstheme="minorHAnsi"/>
                <w:color w:val="000000"/>
              </w:rPr>
              <w:t xml:space="preserve">, E. Stowe, H. </w:t>
            </w:r>
            <w:proofErr w:type="spellStart"/>
            <w:r w:rsidRPr="00616FF4">
              <w:rPr>
                <w:rFonts w:asciiTheme="minorHAnsi" w:hAnsiTheme="minorHAnsi" w:cstheme="minorHAnsi"/>
                <w:color w:val="000000"/>
              </w:rPr>
              <w:t>Zaganjor</w:t>
            </w:r>
            <w:proofErr w:type="spellEnd"/>
            <w:r w:rsidRPr="00616FF4">
              <w:rPr>
                <w:rFonts w:asciiTheme="minorHAnsi" w:hAnsiTheme="minorHAnsi" w:cstheme="minorHAnsi"/>
                <w:color w:val="000000"/>
              </w:rPr>
              <w:t>, P. Zhang, L. Zhao</w:t>
            </w:r>
          </w:p>
        </w:tc>
        <w:tc>
          <w:tcPr>
            <w:tcW w:w="4675" w:type="dxa"/>
            <w:tcBorders>
              <w:top w:val="single" w:sz="4" w:space="0" w:color="auto"/>
              <w:left w:val="single" w:sz="4" w:space="0" w:color="auto"/>
              <w:bottom w:val="single" w:sz="4" w:space="0" w:color="auto"/>
              <w:right w:val="single" w:sz="4" w:space="0" w:color="auto"/>
            </w:tcBorders>
          </w:tcPr>
          <w:p w14:paraId="590E0C53" w14:textId="77777777" w:rsidR="003E0FEF" w:rsidRPr="00616FF4" w:rsidRDefault="003E0FEF" w:rsidP="00216E7B">
            <w:pPr>
              <w:spacing w:line="276" w:lineRule="auto"/>
              <w:contextualSpacing/>
              <w:rPr>
                <w:rFonts w:asciiTheme="minorHAnsi" w:hAnsiTheme="minorHAnsi" w:cstheme="minorHAnsi"/>
                <w:bCs/>
                <w:color w:val="000000"/>
                <w:shd w:val="clear" w:color="auto" w:fill="FFFFFF"/>
              </w:rPr>
            </w:pPr>
            <w:r w:rsidRPr="00616FF4">
              <w:rPr>
                <w:rFonts w:asciiTheme="minorHAnsi" w:hAnsiTheme="minorHAnsi" w:cstheme="minorHAnsi"/>
                <w:b/>
                <w:color w:val="000000"/>
                <w:shd w:val="clear" w:color="auto" w:fill="FFFFFF"/>
              </w:rPr>
              <w:t>USDA:</w:t>
            </w:r>
            <w:r w:rsidRPr="00616FF4">
              <w:rPr>
                <w:rFonts w:asciiTheme="minorHAnsi" w:hAnsiTheme="minorHAnsi" w:cstheme="minorHAnsi"/>
                <w:bCs/>
                <w:color w:val="000000"/>
                <w:shd w:val="clear" w:color="auto" w:fill="FFFFFF"/>
              </w:rPr>
              <w:t xml:space="preserve"> </w:t>
            </w:r>
          </w:p>
          <w:p w14:paraId="0AFBA339" w14:textId="77777777" w:rsidR="003E0FEF" w:rsidRPr="00616FF4" w:rsidRDefault="003E0FEF" w:rsidP="00216E7B">
            <w:pPr>
              <w:spacing w:line="276" w:lineRule="auto"/>
              <w:contextualSpacing/>
              <w:rPr>
                <w:rFonts w:asciiTheme="minorHAnsi" w:hAnsiTheme="minorHAnsi" w:cstheme="minorHAnsi"/>
                <w:color w:val="000000"/>
              </w:rPr>
            </w:pPr>
            <w:r w:rsidRPr="00616FF4">
              <w:rPr>
                <w:rFonts w:asciiTheme="minorHAnsi" w:hAnsiTheme="minorHAnsi" w:cstheme="minorHAnsi"/>
                <w:color w:val="000000"/>
              </w:rPr>
              <w:t xml:space="preserve">D. Chester, M. Ehmke, J. Guthrie, L. </w:t>
            </w:r>
            <w:proofErr w:type="spellStart"/>
            <w:r w:rsidRPr="00616FF4">
              <w:rPr>
                <w:rFonts w:asciiTheme="minorHAnsi" w:hAnsiTheme="minorHAnsi" w:cstheme="minorHAnsi"/>
                <w:color w:val="000000"/>
              </w:rPr>
              <w:t>Rahavi</w:t>
            </w:r>
            <w:proofErr w:type="spellEnd"/>
            <w:r w:rsidRPr="00616FF4">
              <w:rPr>
                <w:rFonts w:asciiTheme="minorHAnsi" w:hAnsiTheme="minorHAnsi" w:cstheme="minorHAnsi"/>
                <w:color w:val="000000"/>
              </w:rPr>
              <w:t xml:space="preserve">, S. </w:t>
            </w:r>
            <w:proofErr w:type="spellStart"/>
            <w:r w:rsidRPr="00616FF4">
              <w:rPr>
                <w:rFonts w:asciiTheme="minorHAnsi" w:hAnsiTheme="minorHAnsi" w:cstheme="minorHAnsi"/>
                <w:color w:val="000000"/>
              </w:rPr>
              <w:t>Toossi</w:t>
            </w:r>
            <w:proofErr w:type="spellEnd"/>
          </w:p>
          <w:p w14:paraId="72B177BA" w14:textId="77777777" w:rsidR="003E0FEF" w:rsidRPr="00616FF4" w:rsidRDefault="003E0FEF" w:rsidP="00216E7B">
            <w:pPr>
              <w:spacing w:line="276" w:lineRule="auto"/>
              <w:contextualSpacing/>
              <w:rPr>
                <w:rFonts w:asciiTheme="minorHAnsi" w:hAnsiTheme="minorHAnsi" w:cstheme="minorHAnsi"/>
                <w:bCs/>
              </w:rPr>
            </w:pPr>
          </w:p>
        </w:tc>
      </w:tr>
      <w:tr w:rsidR="003E0FEF" w:rsidRPr="00616FF4" w14:paraId="787EF44F" w14:textId="77777777" w:rsidTr="003E0FEF">
        <w:tc>
          <w:tcPr>
            <w:tcW w:w="4675" w:type="dxa"/>
            <w:tcBorders>
              <w:top w:val="single" w:sz="4" w:space="0" w:color="auto"/>
              <w:left w:val="single" w:sz="4" w:space="0" w:color="auto"/>
              <w:bottom w:val="single" w:sz="4" w:space="0" w:color="auto"/>
              <w:right w:val="single" w:sz="4" w:space="0" w:color="auto"/>
            </w:tcBorders>
          </w:tcPr>
          <w:p w14:paraId="6518520F" w14:textId="77777777" w:rsidR="003E0FEF" w:rsidRPr="00616FF4" w:rsidRDefault="003E0FEF" w:rsidP="00216E7B">
            <w:pPr>
              <w:spacing w:line="276" w:lineRule="auto"/>
              <w:contextualSpacing/>
              <w:rPr>
                <w:rFonts w:asciiTheme="minorHAnsi" w:hAnsiTheme="minorHAnsi" w:cstheme="minorHAnsi"/>
                <w:b/>
                <w:color w:val="000000"/>
                <w:shd w:val="clear" w:color="auto" w:fill="FFFFFF"/>
              </w:rPr>
            </w:pPr>
            <w:r w:rsidRPr="00616FF4">
              <w:rPr>
                <w:rFonts w:asciiTheme="minorHAnsi" w:hAnsiTheme="minorHAnsi" w:cstheme="minorHAnsi"/>
                <w:b/>
                <w:color w:val="000000"/>
                <w:shd w:val="clear" w:color="auto" w:fill="FFFFFF"/>
              </w:rPr>
              <w:t xml:space="preserve">NIH: </w:t>
            </w:r>
          </w:p>
          <w:p w14:paraId="7110E469" w14:textId="77777777" w:rsidR="003E0FEF" w:rsidRPr="00616FF4" w:rsidRDefault="003E0FEF" w:rsidP="00216E7B">
            <w:pPr>
              <w:spacing w:line="276" w:lineRule="auto"/>
              <w:contextualSpacing/>
              <w:rPr>
                <w:rFonts w:asciiTheme="minorHAnsi" w:hAnsiTheme="minorHAnsi" w:cstheme="minorHAnsi"/>
                <w:color w:val="000000"/>
              </w:rPr>
            </w:pPr>
            <w:r w:rsidRPr="00616FF4">
              <w:rPr>
                <w:rFonts w:asciiTheme="minorHAnsi" w:hAnsiTheme="minorHAnsi" w:cstheme="minorHAnsi"/>
                <w:color w:val="000000"/>
              </w:rPr>
              <w:t xml:space="preserve">K. Clevenger, L. Donze, K. Gibbs, R. </w:t>
            </w:r>
            <w:proofErr w:type="spellStart"/>
            <w:r w:rsidRPr="00616FF4">
              <w:rPr>
                <w:rFonts w:asciiTheme="minorHAnsi" w:hAnsiTheme="minorHAnsi" w:cstheme="minorHAnsi"/>
                <w:color w:val="000000"/>
              </w:rPr>
              <w:t>Kuczmarski</w:t>
            </w:r>
            <w:proofErr w:type="spellEnd"/>
            <w:r w:rsidRPr="00616FF4">
              <w:rPr>
                <w:rFonts w:asciiTheme="minorHAnsi" w:hAnsiTheme="minorHAnsi" w:cstheme="minorHAnsi"/>
                <w:color w:val="000000"/>
              </w:rPr>
              <w:t xml:space="preserve">, L. </w:t>
            </w:r>
            <w:proofErr w:type="spellStart"/>
            <w:r w:rsidRPr="00616FF4">
              <w:rPr>
                <w:rFonts w:asciiTheme="minorHAnsi" w:hAnsiTheme="minorHAnsi" w:cstheme="minorHAnsi"/>
                <w:color w:val="000000"/>
              </w:rPr>
              <w:t>Nebeling</w:t>
            </w:r>
            <w:proofErr w:type="spellEnd"/>
            <w:r w:rsidRPr="00616FF4">
              <w:rPr>
                <w:rFonts w:asciiTheme="minorHAnsi" w:hAnsiTheme="minorHAnsi" w:cstheme="minorHAnsi"/>
                <w:color w:val="000000"/>
              </w:rPr>
              <w:t>, M. Shams-White, S. Vorkoper</w:t>
            </w:r>
          </w:p>
          <w:p w14:paraId="30177D9E" w14:textId="77777777" w:rsidR="003E0FEF" w:rsidRPr="00616FF4" w:rsidRDefault="003E0FEF" w:rsidP="00216E7B">
            <w:pPr>
              <w:spacing w:line="276" w:lineRule="auto"/>
              <w:contextualSpacing/>
              <w:rPr>
                <w:rFonts w:asciiTheme="minorHAnsi" w:hAnsiTheme="minorHAnsi" w:cstheme="minorHAnsi"/>
                <w:b/>
                <w:bCs/>
              </w:rPr>
            </w:pPr>
          </w:p>
        </w:tc>
        <w:tc>
          <w:tcPr>
            <w:tcW w:w="4675" w:type="dxa"/>
            <w:tcBorders>
              <w:top w:val="single" w:sz="4" w:space="0" w:color="auto"/>
              <w:left w:val="single" w:sz="4" w:space="0" w:color="auto"/>
              <w:bottom w:val="single" w:sz="4" w:space="0" w:color="auto"/>
              <w:right w:val="single" w:sz="4" w:space="0" w:color="auto"/>
            </w:tcBorders>
          </w:tcPr>
          <w:p w14:paraId="103AD86A" w14:textId="77777777" w:rsidR="003E0FEF" w:rsidRPr="00616FF4" w:rsidRDefault="003E0FEF" w:rsidP="00216E7B">
            <w:pPr>
              <w:spacing w:line="276" w:lineRule="auto"/>
              <w:contextualSpacing/>
              <w:rPr>
                <w:rFonts w:asciiTheme="minorHAnsi" w:hAnsiTheme="minorHAnsi" w:cstheme="minorHAnsi"/>
                <w:b/>
                <w:color w:val="000000"/>
                <w:shd w:val="clear" w:color="auto" w:fill="FFFFFF"/>
              </w:rPr>
            </w:pPr>
            <w:r w:rsidRPr="00616FF4">
              <w:rPr>
                <w:rFonts w:asciiTheme="minorHAnsi" w:hAnsiTheme="minorHAnsi" w:cstheme="minorHAnsi"/>
                <w:b/>
                <w:color w:val="000000"/>
                <w:shd w:val="clear" w:color="auto" w:fill="FFFFFF"/>
              </w:rPr>
              <w:t>Coordinating Center (CC):</w:t>
            </w:r>
          </w:p>
          <w:p w14:paraId="0A83AC8B" w14:textId="46126E35" w:rsidR="003E0FEF" w:rsidRPr="00616FF4" w:rsidRDefault="003E0FEF" w:rsidP="00216E7B">
            <w:pPr>
              <w:spacing w:line="276" w:lineRule="auto"/>
              <w:contextualSpacing/>
              <w:rPr>
                <w:rFonts w:asciiTheme="minorHAnsi" w:hAnsiTheme="minorHAnsi" w:cstheme="minorHAnsi"/>
                <w:color w:val="000000"/>
              </w:rPr>
            </w:pPr>
            <w:r w:rsidRPr="00616FF4">
              <w:rPr>
                <w:rFonts w:asciiTheme="minorHAnsi" w:hAnsiTheme="minorHAnsi" w:cstheme="minorHAnsi"/>
                <w:color w:val="000000"/>
              </w:rPr>
              <w:t xml:space="preserve">E. Callahan, L. Canady, V. Do, R. Grimsland, K.  Hilyard, T. Phillips, A. Sharfman, M. Van Orman, S. Xiong, A. </w:t>
            </w:r>
            <w:proofErr w:type="spellStart"/>
            <w:r w:rsidRPr="00616FF4">
              <w:rPr>
                <w:rFonts w:asciiTheme="minorHAnsi" w:hAnsiTheme="minorHAnsi" w:cstheme="minorHAnsi"/>
                <w:color w:val="000000"/>
              </w:rPr>
              <w:t>Yaroch</w:t>
            </w:r>
            <w:proofErr w:type="spellEnd"/>
          </w:p>
        </w:tc>
      </w:tr>
      <w:tr w:rsidR="003E0FEF" w:rsidRPr="00616FF4" w14:paraId="475ABE1E" w14:textId="77777777" w:rsidTr="003E0FEF">
        <w:tc>
          <w:tcPr>
            <w:tcW w:w="9350" w:type="dxa"/>
            <w:gridSpan w:val="2"/>
            <w:tcBorders>
              <w:top w:val="single" w:sz="4" w:space="0" w:color="auto"/>
              <w:left w:val="single" w:sz="4" w:space="0" w:color="auto"/>
              <w:bottom w:val="single" w:sz="4" w:space="0" w:color="auto"/>
              <w:right w:val="single" w:sz="4" w:space="0" w:color="auto"/>
            </w:tcBorders>
            <w:hideMark/>
          </w:tcPr>
          <w:p w14:paraId="4CB52D8D" w14:textId="64A3DBC3" w:rsidR="003E0FEF" w:rsidRPr="00616FF4" w:rsidRDefault="003E0FEF" w:rsidP="00216E7B">
            <w:pPr>
              <w:spacing w:line="276" w:lineRule="auto"/>
              <w:contextualSpacing/>
              <w:rPr>
                <w:rFonts w:asciiTheme="minorHAnsi" w:hAnsiTheme="minorHAnsi" w:cstheme="minorHAnsi"/>
                <w:b/>
                <w:color w:val="000000"/>
                <w:shd w:val="clear" w:color="auto" w:fill="FFFFFF"/>
              </w:rPr>
            </w:pPr>
            <w:r w:rsidRPr="00616FF4">
              <w:rPr>
                <w:rFonts w:asciiTheme="minorHAnsi" w:hAnsiTheme="minorHAnsi" w:cstheme="minorHAnsi"/>
                <w:b/>
                <w:color w:val="000000"/>
                <w:shd w:val="clear" w:color="auto" w:fill="FFFFFF"/>
              </w:rPr>
              <w:t>Guest Speakers (in order of appearance)</w:t>
            </w:r>
          </w:p>
          <w:p w14:paraId="5DA15436" w14:textId="77777777" w:rsidR="003E0FEF" w:rsidRPr="00616FF4" w:rsidRDefault="003E0FEF" w:rsidP="00216E7B">
            <w:pPr>
              <w:numPr>
                <w:ilvl w:val="0"/>
                <w:numId w:val="12"/>
              </w:numPr>
              <w:spacing w:line="276" w:lineRule="auto"/>
              <w:contextualSpacing/>
              <w:rPr>
                <w:rFonts w:asciiTheme="minorHAnsi" w:hAnsiTheme="minorHAnsi" w:cstheme="minorHAnsi"/>
              </w:rPr>
            </w:pPr>
            <w:r w:rsidRPr="00616FF4">
              <w:rPr>
                <w:rFonts w:asciiTheme="minorHAnsi" w:hAnsiTheme="minorHAnsi" w:cstheme="minorHAnsi"/>
              </w:rPr>
              <w:t>Deb Galuska, PhD, MPH,</w:t>
            </w:r>
            <w:r w:rsidRPr="00616FF4">
              <w:rPr>
                <w:rFonts w:asciiTheme="minorHAnsi" w:hAnsiTheme="minorHAnsi" w:cstheme="minorHAnsi"/>
                <w:i/>
                <w:iCs/>
              </w:rPr>
              <w:t xml:space="preserve"> Centers for Disease Control and Prevention</w:t>
            </w:r>
          </w:p>
          <w:p w14:paraId="11287B3B" w14:textId="77777777" w:rsidR="003E0FEF" w:rsidRPr="00616FF4" w:rsidRDefault="003E0FEF" w:rsidP="00216E7B">
            <w:pPr>
              <w:numPr>
                <w:ilvl w:val="0"/>
                <w:numId w:val="12"/>
              </w:numPr>
              <w:spacing w:line="276" w:lineRule="auto"/>
              <w:contextualSpacing/>
              <w:rPr>
                <w:rFonts w:asciiTheme="minorHAnsi" w:hAnsiTheme="minorHAnsi" w:cstheme="minorHAnsi"/>
              </w:rPr>
            </w:pPr>
            <w:r w:rsidRPr="00616FF4">
              <w:rPr>
                <w:rFonts w:asciiTheme="minorHAnsi" w:hAnsiTheme="minorHAnsi" w:cstheme="minorHAnsi"/>
              </w:rPr>
              <w:t xml:space="preserve">James McClain, PhD, MPH, </w:t>
            </w:r>
            <w:r w:rsidRPr="00616FF4">
              <w:rPr>
                <w:rFonts w:asciiTheme="minorHAnsi" w:hAnsiTheme="minorHAnsi" w:cstheme="minorHAnsi"/>
                <w:i/>
                <w:iCs/>
              </w:rPr>
              <w:t>National Institutes of Health</w:t>
            </w:r>
          </w:p>
          <w:p w14:paraId="590C3137" w14:textId="77777777" w:rsidR="003E0FEF" w:rsidRPr="00616FF4" w:rsidRDefault="003E0FEF" w:rsidP="00216E7B">
            <w:pPr>
              <w:numPr>
                <w:ilvl w:val="0"/>
                <w:numId w:val="12"/>
              </w:numPr>
              <w:spacing w:line="276" w:lineRule="auto"/>
              <w:contextualSpacing/>
              <w:rPr>
                <w:rFonts w:asciiTheme="minorHAnsi" w:hAnsiTheme="minorHAnsi" w:cstheme="minorHAnsi"/>
              </w:rPr>
            </w:pPr>
            <w:r w:rsidRPr="00616FF4">
              <w:rPr>
                <w:rFonts w:asciiTheme="minorHAnsi" w:hAnsiTheme="minorHAnsi" w:cstheme="minorHAnsi"/>
              </w:rPr>
              <w:t xml:space="preserve">George </w:t>
            </w:r>
            <w:proofErr w:type="spellStart"/>
            <w:r w:rsidRPr="00616FF4">
              <w:rPr>
                <w:rFonts w:asciiTheme="minorHAnsi" w:hAnsiTheme="minorHAnsi" w:cstheme="minorHAnsi"/>
              </w:rPr>
              <w:t>Hobor</w:t>
            </w:r>
            <w:proofErr w:type="spellEnd"/>
            <w:r w:rsidRPr="00616FF4">
              <w:rPr>
                <w:rFonts w:asciiTheme="minorHAnsi" w:hAnsiTheme="minorHAnsi" w:cstheme="minorHAnsi"/>
              </w:rPr>
              <w:t xml:space="preserve">, PhD, </w:t>
            </w:r>
            <w:r w:rsidRPr="00616FF4">
              <w:rPr>
                <w:rFonts w:asciiTheme="minorHAnsi" w:hAnsiTheme="minorHAnsi" w:cstheme="minorHAnsi"/>
                <w:i/>
                <w:iCs/>
              </w:rPr>
              <w:t xml:space="preserve">Robert Wood Johnson Foundation </w:t>
            </w:r>
          </w:p>
          <w:p w14:paraId="43C90051" w14:textId="77777777" w:rsidR="003E0FEF" w:rsidRPr="00616FF4" w:rsidRDefault="003E0FEF" w:rsidP="00216E7B">
            <w:pPr>
              <w:numPr>
                <w:ilvl w:val="0"/>
                <w:numId w:val="12"/>
              </w:numPr>
              <w:spacing w:line="276" w:lineRule="auto"/>
              <w:contextualSpacing/>
              <w:rPr>
                <w:rFonts w:asciiTheme="minorHAnsi" w:eastAsia="Calibri" w:hAnsiTheme="minorHAnsi" w:cstheme="minorHAnsi"/>
                <w:color w:val="000000"/>
              </w:rPr>
            </w:pPr>
            <w:r w:rsidRPr="00616FF4">
              <w:rPr>
                <w:rFonts w:asciiTheme="minorHAnsi" w:hAnsiTheme="minorHAnsi" w:cstheme="minorHAnsi"/>
              </w:rPr>
              <w:t xml:space="preserve">Melanie </w:t>
            </w:r>
            <w:proofErr w:type="spellStart"/>
            <w:r w:rsidRPr="00616FF4">
              <w:rPr>
                <w:rFonts w:asciiTheme="minorHAnsi" w:hAnsiTheme="minorHAnsi" w:cstheme="minorHAnsi"/>
              </w:rPr>
              <w:t>Abley</w:t>
            </w:r>
            <w:proofErr w:type="spellEnd"/>
            <w:r w:rsidRPr="00616FF4">
              <w:rPr>
                <w:rFonts w:asciiTheme="minorHAnsi" w:hAnsiTheme="minorHAnsi" w:cstheme="minorHAnsi"/>
              </w:rPr>
              <w:t xml:space="preserve">, PhD, </w:t>
            </w:r>
            <w:r w:rsidRPr="00616FF4">
              <w:rPr>
                <w:rFonts w:asciiTheme="minorHAnsi" w:hAnsiTheme="minorHAnsi" w:cstheme="minorHAnsi"/>
                <w:i/>
                <w:iCs/>
              </w:rPr>
              <w:t>United States Department of Agriculture</w:t>
            </w:r>
          </w:p>
          <w:p w14:paraId="26D892A9" w14:textId="77777777" w:rsidR="00DD6D4A" w:rsidRPr="00616FF4" w:rsidRDefault="003E0FEF" w:rsidP="00216E7B">
            <w:pPr>
              <w:numPr>
                <w:ilvl w:val="0"/>
                <w:numId w:val="12"/>
              </w:numPr>
              <w:spacing w:line="276" w:lineRule="auto"/>
              <w:contextualSpacing/>
              <w:rPr>
                <w:rFonts w:asciiTheme="minorHAnsi" w:hAnsiTheme="minorHAnsi" w:cstheme="minorHAnsi"/>
                <w:color w:val="000000"/>
              </w:rPr>
            </w:pPr>
            <w:r w:rsidRPr="00616FF4">
              <w:rPr>
                <w:rFonts w:asciiTheme="minorHAnsi" w:eastAsia="Calibri" w:hAnsiTheme="minorHAnsi" w:cstheme="minorHAnsi"/>
                <w:color w:val="000000"/>
              </w:rPr>
              <w:t>Susan Woolford, MD, MPH,</w:t>
            </w:r>
            <w:r w:rsidRPr="00616FF4">
              <w:rPr>
                <w:rFonts w:asciiTheme="minorHAnsi" w:eastAsia="Calibri" w:hAnsiTheme="minorHAnsi" w:cstheme="minorHAnsi"/>
                <w:i/>
                <w:iCs/>
                <w:color w:val="000000"/>
              </w:rPr>
              <w:t xml:space="preserve"> Susan B. Meister Child Health Evaluation and Research Center, University of Michigan</w:t>
            </w:r>
          </w:p>
          <w:p w14:paraId="111E0E80" w14:textId="12E2EE31" w:rsidR="003E0FEF" w:rsidRPr="00616FF4" w:rsidRDefault="003E0FEF" w:rsidP="00216E7B">
            <w:pPr>
              <w:numPr>
                <w:ilvl w:val="0"/>
                <w:numId w:val="12"/>
              </w:numPr>
              <w:spacing w:line="276" w:lineRule="auto"/>
              <w:contextualSpacing/>
              <w:rPr>
                <w:rFonts w:asciiTheme="minorHAnsi" w:hAnsiTheme="minorHAnsi" w:cstheme="minorHAnsi"/>
                <w:color w:val="000000"/>
              </w:rPr>
            </w:pPr>
            <w:r w:rsidRPr="00616FF4">
              <w:rPr>
                <w:rFonts w:asciiTheme="minorHAnsi" w:eastAsia="Calibri" w:hAnsiTheme="minorHAnsi" w:cstheme="minorHAnsi"/>
                <w:color w:val="000000"/>
              </w:rPr>
              <w:t xml:space="preserve">Corinna </w:t>
            </w:r>
            <w:proofErr w:type="spellStart"/>
            <w:r w:rsidRPr="00616FF4">
              <w:rPr>
                <w:rFonts w:asciiTheme="minorHAnsi" w:eastAsia="Calibri" w:hAnsiTheme="minorHAnsi" w:cstheme="minorHAnsi"/>
                <w:color w:val="000000"/>
              </w:rPr>
              <w:t>Koebnick</w:t>
            </w:r>
            <w:proofErr w:type="spellEnd"/>
            <w:r w:rsidRPr="00616FF4">
              <w:rPr>
                <w:rFonts w:asciiTheme="minorHAnsi" w:eastAsia="Calibri" w:hAnsiTheme="minorHAnsi" w:cstheme="minorHAnsi"/>
                <w:color w:val="000000"/>
              </w:rPr>
              <w:t xml:space="preserve">, PhD, MSc, </w:t>
            </w:r>
            <w:r w:rsidRPr="00616FF4">
              <w:rPr>
                <w:rFonts w:asciiTheme="minorHAnsi" w:eastAsia="Calibri" w:hAnsiTheme="minorHAnsi" w:cstheme="minorHAnsi"/>
                <w:i/>
                <w:iCs/>
                <w:color w:val="000000"/>
              </w:rPr>
              <w:t>Division of Behavioral Research, Kaiser Permanente</w:t>
            </w:r>
          </w:p>
          <w:p w14:paraId="491F0DA1" w14:textId="77777777" w:rsidR="003E0FEF" w:rsidRPr="00616FF4" w:rsidRDefault="003E0FEF" w:rsidP="00216E7B">
            <w:pPr>
              <w:numPr>
                <w:ilvl w:val="0"/>
                <w:numId w:val="12"/>
              </w:numPr>
              <w:spacing w:line="276" w:lineRule="auto"/>
              <w:contextualSpacing/>
              <w:rPr>
                <w:rFonts w:asciiTheme="minorHAnsi" w:hAnsiTheme="minorHAnsi" w:cstheme="minorHAnsi"/>
                <w:color w:val="000000"/>
              </w:rPr>
            </w:pPr>
            <w:r w:rsidRPr="00616FF4">
              <w:rPr>
                <w:rFonts w:asciiTheme="minorHAnsi" w:eastAsia="Calibri" w:hAnsiTheme="minorHAnsi" w:cstheme="minorHAnsi"/>
                <w:color w:val="000000"/>
              </w:rPr>
              <w:t xml:space="preserve">Louise Baur, MD, </w:t>
            </w:r>
            <w:r w:rsidRPr="00616FF4">
              <w:rPr>
                <w:rFonts w:asciiTheme="minorHAnsi" w:eastAsia="Calibri" w:hAnsiTheme="minorHAnsi" w:cstheme="minorHAnsi"/>
                <w:i/>
                <w:iCs/>
                <w:color w:val="000000"/>
              </w:rPr>
              <w:t>World Obesity Federation; University of Sydney; Australian National Health &amp; Medical Research Council Centre of Research Excellence in the Early Prevention of Obesity in Childhood</w:t>
            </w:r>
          </w:p>
        </w:tc>
      </w:tr>
    </w:tbl>
    <w:p w14:paraId="691BAFFA" w14:textId="6D9DD0BD" w:rsidR="002B4E32" w:rsidRPr="00616FF4" w:rsidRDefault="002B4E32" w:rsidP="00216E7B">
      <w:pPr>
        <w:spacing w:line="276" w:lineRule="auto"/>
        <w:contextualSpacing/>
        <w:rPr>
          <w:rFonts w:cstheme="minorHAnsi"/>
          <w:color w:val="000000"/>
          <w:sz w:val="22"/>
          <w:szCs w:val="22"/>
          <w:shd w:val="clear" w:color="auto" w:fill="FFFFFF"/>
        </w:rPr>
      </w:pPr>
    </w:p>
    <w:p w14:paraId="0C9E2157" w14:textId="304E24B7" w:rsidR="002B4E32" w:rsidRPr="00616FF4" w:rsidRDefault="002B4E32" w:rsidP="00216E7B">
      <w:pPr>
        <w:spacing w:line="276" w:lineRule="auto"/>
        <w:ind w:left="1418" w:hanging="1418"/>
        <w:contextualSpacing/>
        <w:rPr>
          <w:rFonts w:cstheme="minorHAnsi"/>
          <w:i/>
          <w:iCs/>
          <w:sz w:val="22"/>
          <w:szCs w:val="22"/>
        </w:rPr>
      </w:pPr>
      <w:r w:rsidRPr="00616FF4">
        <w:rPr>
          <w:rFonts w:cstheme="minorHAnsi"/>
          <w:b/>
          <w:sz w:val="22"/>
          <w:szCs w:val="22"/>
        </w:rPr>
        <w:t xml:space="preserve">Welcome, Introduction, NCCOR Updates </w:t>
      </w:r>
      <w:r w:rsidRPr="00616FF4">
        <w:rPr>
          <w:rFonts w:cstheme="minorHAnsi"/>
          <w:sz w:val="22"/>
          <w:szCs w:val="22"/>
        </w:rPr>
        <w:t xml:space="preserve">– </w:t>
      </w:r>
      <w:r w:rsidRPr="00616FF4">
        <w:rPr>
          <w:rFonts w:cstheme="minorHAnsi"/>
          <w:i/>
          <w:iCs/>
          <w:sz w:val="22"/>
          <w:szCs w:val="22"/>
        </w:rPr>
        <w:t>Karen Hilyard, NCCOR Coordinating Center</w:t>
      </w:r>
    </w:p>
    <w:p w14:paraId="11A927B4" w14:textId="77777777" w:rsidR="00E11475" w:rsidRDefault="00E11475" w:rsidP="00216E7B">
      <w:pPr>
        <w:spacing w:line="276" w:lineRule="auto"/>
        <w:contextualSpacing/>
        <w:rPr>
          <w:rFonts w:cstheme="minorHAnsi"/>
          <w:sz w:val="22"/>
          <w:szCs w:val="22"/>
        </w:rPr>
      </w:pPr>
    </w:p>
    <w:p w14:paraId="38F1220C" w14:textId="2EB3EB90" w:rsidR="00A53153" w:rsidRDefault="002B4E32" w:rsidP="00216E7B">
      <w:pPr>
        <w:spacing w:line="276" w:lineRule="auto"/>
        <w:contextualSpacing/>
        <w:rPr>
          <w:rFonts w:eastAsia="Calibri" w:cstheme="minorHAnsi"/>
          <w:iCs/>
          <w:sz w:val="22"/>
          <w:szCs w:val="22"/>
        </w:rPr>
      </w:pPr>
      <w:r w:rsidRPr="00616FF4">
        <w:rPr>
          <w:rFonts w:cstheme="minorHAnsi"/>
          <w:sz w:val="22"/>
          <w:szCs w:val="22"/>
        </w:rPr>
        <w:t>K. Hilyard</w:t>
      </w:r>
      <w:r w:rsidRPr="00616FF4">
        <w:rPr>
          <w:rFonts w:cstheme="minorHAnsi"/>
          <w:i/>
          <w:iCs/>
          <w:sz w:val="22"/>
          <w:szCs w:val="22"/>
        </w:rPr>
        <w:t xml:space="preserve"> </w:t>
      </w:r>
      <w:r w:rsidRPr="00616FF4">
        <w:rPr>
          <w:rFonts w:cstheme="minorHAnsi"/>
          <w:iCs/>
          <w:sz w:val="22"/>
          <w:szCs w:val="22"/>
        </w:rPr>
        <w:t xml:space="preserve">welcomed participants, reviewed the agenda, highlighted the primary purpose of the meeting—to </w:t>
      </w:r>
      <w:r w:rsidRPr="00616FF4">
        <w:rPr>
          <w:rFonts w:eastAsia="Calibri" w:cstheme="minorHAnsi"/>
          <w:sz w:val="22"/>
          <w:szCs w:val="22"/>
        </w:rPr>
        <w:t>explor</w:t>
      </w:r>
      <w:r w:rsidR="0006198F" w:rsidRPr="00616FF4">
        <w:rPr>
          <w:rFonts w:eastAsia="Calibri" w:cstheme="minorHAnsi"/>
          <w:sz w:val="22"/>
          <w:szCs w:val="22"/>
        </w:rPr>
        <w:t>e</w:t>
      </w:r>
      <w:r w:rsidR="003E0FEF" w:rsidRPr="00616FF4">
        <w:rPr>
          <w:rFonts w:eastAsia="Calibri" w:cstheme="minorHAnsi"/>
          <w:sz w:val="22"/>
          <w:szCs w:val="22"/>
        </w:rPr>
        <w:t xml:space="preserve"> potential opportunities to modernize data systems to get a better picture of childhood obesity in the United States</w:t>
      </w:r>
      <w:r w:rsidR="0006198F" w:rsidRPr="00616FF4">
        <w:rPr>
          <w:rFonts w:eastAsia="Calibri" w:cstheme="minorHAnsi"/>
          <w:iCs/>
          <w:sz w:val="22"/>
          <w:szCs w:val="22"/>
        </w:rPr>
        <w:t>—and shared NCCOR updates</w:t>
      </w:r>
      <w:r w:rsidR="00F36346" w:rsidRPr="00616FF4">
        <w:rPr>
          <w:rFonts w:eastAsia="Calibri" w:cstheme="minorHAnsi"/>
          <w:iCs/>
          <w:sz w:val="22"/>
          <w:szCs w:val="22"/>
        </w:rPr>
        <w:t xml:space="preserve">, including </w:t>
      </w:r>
      <w:r w:rsidR="001B3A76">
        <w:rPr>
          <w:rFonts w:eastAsia="Calibri" w:cstheme="minorHAnsi"/>
          <w:iCs/>
          <w:sz w:val="22"/>
          <w:szCs w:val="22"/>
        </w:rPr>
        <w:t>three</w:t>
      </w:r>
      <w:r w:rsidR="00F36346" w:rsidRPr="00616FF4">
        <w:rPr>
          <w:rFonts w:eastAsia="Calibri" w:cstheme="minorHAnsi"/>
          <w:iCs/>
          <w:sz w:val="22"/>
          <w:szCs w:val="22"/>
        </w:rPr>
        <w:t xml:space="preserve"> new items</w:t>
      </w:r>
      <w:r w:rsidR="0006198F" w:rsidRPr="00616FF4">
        <w:rPr>
          <w:rFonts w:eastAsia="Calibri" w:cstheme="minorHAnsi"/>
          <w:iCs/>
          <w:sz w:val="22"/>
          <w:szCs w:val="22"/>
        </w:rPr>
        <w:t>:</w:t>
      </w:r>
    </w:p>
    <w:p w14:paraId="501A322C" w14:textId="77777777" w:rsidR="00E11475" w:rsidRPr="00E11475" w:rsidRDefault="00E11475" w:rsidP="00216E7B">
      <w:pPr>
        <w:spacing w:line="276" w:lineRule="auto"/>
        <w:contextualSpacing/>
        <w:rPr>
          <w:rFonts w:eastAsia="Calibri" w:cstheme="minorHAnsi"/>
          <w:iCs/>
          <w:sz w:val="12"/>
          <w:szCs w:val="12"/>
        </w:rPr>
      </w:pPr>
    </w:p>
    <w:p w14:paraId="5FC075BF" w14:textId="18FCCFC1" w:rsidR="00E26FA6" w:rsidRPr="00616FF4" w:rsidRDefault="00F36346" w:rsidP="00216E7B">
      <w:pPr>
        <w:pStyle w:val="ListParagraph"/>
        <w:numPr>
          <w:ilvl w:val="0"/>
          <w:numId w:val="2"/>
        </w:numPr>
        <w:spacing w:after="0"/>
        <w:rPr>
          <w:rFonts w:eastAsia="Calibri" w:cstheme="minorHAnsi"/>
          <w:i/>
          <w:iCs/>
          <w:color w:val="000000" w:themeColor="text1"/>
        </w:rPr>
      </w:pPr>
      <w:r w:rsidRPr="00616FF4">
        <w:rPr>
          <w:rFonts w:eastAsia="Calibri" w:cstheme="minorHAnsi"/>
          <w:color w:val="000000" w:themeColor="text1"/>
        </w:rPr>
        <w:t xml:space="preserve">Create Thriving, Activity-Friendly Communities: a set of </w:t>
      </w:r>
      <w:hyperlink r:id="rId14" w:history="1">
        <w:r w:rsidRPr="00616FF4">
          <w:rPr>
            <w:rStyle w:val="Hyperlink"/>
            <w:rFonts w:eastAsia="Calibri" w:cstheme="minorHAnsi"/>
          </w:rPr>
          <w:t>ready-made materials</w:t>
        </w:r>
      </w:hyperlink>
      <w:r w:rsidRPr="00616FF4">
        <w:rPr>
          <w:rFonts w:eastAsia="Calibri" w:cstheme="minorHAnsi"/>
          <w:color w:val="000000" w:themeColor="text1"/>
        </w:rPr>
        <w:t xml:space="preserve"> to facilitate conversations with local leaders and decision makers about improving built environments</w:t>
      </w:r>
      <w:r w:rsidR="00E11475">
        <w:rPr>
          <w:rFonts w:eastAsia="Calibri" w:cstheme="minorHAnsi"/>
          <w:color w:val="000000" w:themeColor="text1"/>
        </w:rPr>
        <w:t xml:space="preserve"> in communities</w:t>
      </w:r>
      <w:r w:rsidRPr="00616FF4">
        <w:rPr>
          <w:rFonts w:eastAsia="Calibri" w:cstheme="minorHAnsi"/>
          <w:color w:val="000000" w:themeColor="text1"/>
        </w:rPr>
        <w:t xml:space="preserve">. </w:t>
      </w:r>
      <w:r w:rsidR="00EF10A0" w:rsidRPr="00616FF4">
        <w:rPr>
          <w:rFonts w:eastAsia="Calibri" w:cstheme="minorHAnsi"/>
          <w:color w:val="000000" w:themeColor="text1"/>
        </w:rPr>
        <w:t xml:space="preserve">Resources include tips for talking about the economic benefits of activity-friendly communities, a fact sheet about making the business case for activity-friendly places, a customizable presentation, and recent research articles and other relevant resources. </w:t>
      </w:r>
    </w:p>
    <w:p w14:paraId="6FE1CE16" w14:textId="48C1C2F5" w:rsidR="000031FD" w:rsidRDefault="00EF10A0" w:rsidP="00216E7B">
      <w:pPr>
        <w:pStyle w:val="ListParagraph"/>
        <w:numPr>
          <w:ilvl w:val="0"/>
          <w:numId w:val="2"/>
        </w:numPr>
        <w:spacing w:after="0"/>
        <w:rPr>
          <w:rFonts w:eastAsia="Calibri" w:cstheme="minorHAnsi"/>
          <w:color w:val="000000" w:themeColor="text1"/>
        </w:rPr>
      </w:pPr>
      <w:r w:rsidRPr="00616FF4">
        <w:rPr>
          <w:rFonts w:eastAsia="Calibri" w:cstheme="minorHAnsi"/>
          <w:color w:val="000000" w:themeColor="text1"/>
        </w:rPr>
        <w:t xml:space="preserve">A commentary/position paper from the Active Travel to School </w:t>
      </w:r>
      <w:r w:rsidR="00347255">
        <w:rPr>
          <w:rFonts w:eastAsia="Calibri" w:cstheme="minorHAnsi"/>
          <w:color w:val="000000" w:themeColor="text1"/>
        </w:rPr>
        <w:t xml:space="preserve">(ATS) </w:t>
      </w:r>
      <w:r w:rsidRPr="00616FF4">
        <w:rPr>
          <w:rFonts w:eastAsia="Calibri" w:cstheme="minorHAnsi"/>
          <w:color w:val="000000" w:themeColor="text1"/>
        </w:rPr>
        <w:t>Surveillance Initiative workgroup, “</w:t>
      </w:r>
      <w:hyperlink r:id="rId15" w:history="1">
        <w:r w:rsidRPr="00616FF4">
          <w:rPr>
            <w:rStyle w:val="Hyperlink"/>
            <w:rFonts w:eastAsia="Calibri" w:cstheme="minorHAnsi"/>
          </w:rPr>
          <w:t xml:space="preserve">Improving active travel to school and its surveillance: an overlooked opportunity in </w:t>
        </w:r>
        <w:r w:rsidRPr="00616FF4">
          <w:rPr>
            <w:rStyle w:val="Hyperlink"/>
            <w:rFonts w:eastAsia="Calibri" w:cstheme="minorHAnsi"/>
          </w:rPr>
          <w:lastRenderedPageBreak/>
          <w:t>health promotion and chronic disease prevention</w:t>
        </w:r>
      </w:hyperlink>
      <w:r w:rsidRPr="00616FF4">
        <w:rPr>
          <w:rFonts w:eastAsia="Calibri" w:cstheme="minorHAnsi"/>
          <w:color w:val="000000" w:themeColor="text1"/>
        </w:rPr>
        <w:t>,” offering insights into strengthening surveillance and data collection of ATS behavior as well as ATS environmental, policy, and program supports. Th</w:t>
      </w:r>
      <w:r w:rsidR="00E11475">
        <w:rPr>
          <w:rFonts w:eastAsia="Calibri" w:cstheme="minorHAnsi"/>
          <w:color w:val="000000" w:themeColor="text1"/>
        </w:rPr>
        <w:t>is</w:t>
      </w:r>
      <w:r w:rsidRPr="00616FF4">
        <w:rPr>
          <w:rFonts w:eastAsia="Calibri" w:cstheme="minorHAnsi"/>
          <w:color w:val="000000" w:themeColor="text1"/>
        </w:rPr>
        <w:t xml:space="preserve"> builds on the </w:t>
      </w:r>
      <w:r w:rsidRPr="00F510A0">
        <w:rPr>
          <w:rFonts w:eastAsia="Calibri" w:cstheme="minorHAnsi"/>
        </w:rPr>
        <w:t>workgroup’s</w:t>
      </w:r>
      <w:r w:rsidRPr="00616FF4">
        <w:rPr>
          <w:rFonts w:eastAsia="Calibri" w:cstheme="minorHAnsi"/>
          <w:color w:val="000000" w:themeColor="text1"/>
        </w:rPr>
        <w:t xml:space="preserve"> </w:t>
      </w:r>
      <w:hyperlink r:id="rId16" w:history="1">
        <w:r w:rsidRPr="00125A38">
          <w:rPr>
            <w:rStyle w:val="Hyperlink"/>
            <w:rFonts w:eastAsia="Calibri" w:cstheme="minorHAnsi"/>
          </w:rPr>
          <w:t>literature review</w:t>
        </w:r>
      </w:hyperlink>
      <w:r w:rsidRPr="00616FF4">
        <w:rPr>
          <w:rFonts w:eastAsia="Calibri" w:cstheme="minorHAnsi"/>
          <w:color w:val="000000" w:themeColor="text1"/>
        </w:rPr>
        <w:t xml:space="preserve"> of existing active travel to school surveillance systems and </w:t>
      </w:r>
      <w:hyperlink r:id="rId17" w:history="1">
        <w:r w:rsidRPr="00F510A0">
          <w:rPr>
            <w:rStyle w:val="Hyperlink"/>
            <w:rFonts w:eastAsia="Calibri" w:cstheme="minorHAnsi"/>
          </w:rPr>
          <w:t>white paper</w:t>
        </w:r>
      </w:hyperlink>
      <w:r w:rsidRPr="00616FF4">
        <w:rPr>
          <w:rFonts w:eastAsia="Calibri" w:cstheme="minorHAnsi"/>
          <w:color w:val="000000" w:themeColor="text1"/>
        </w:rPr>
        <w:t xml:space="preserve"> summarizing an NCCOR workshop </w:t>
      </w:r>
      <w:r w:rsidR="00E11475">
        <w:rPr>
          <w:rFonts w:eastAsia="Calibri" w:cstheme="minorHAnsi"/>
          <w:color w:val="000000" w:themeColor="text1"/>
        </w:rPr>
        <w:t xml:space="preserve">on this topic </w:t>
      </w:r>
      <w:r w:rsidRPr="00616FF4">
        <w:rPr>
          <w:rFonts w:eastAsia="Calibri" w:cstheme="minorHAnsi"/>
          <w:color w:val="000000" w:themeColor="text1"/>
        </w:rPr>
        <w:t>held in October 2020</w:t>
      </w:r>
      <w:r w:rsidR="00E11475">
        <w:rPr>
          <w:rFonts w:eastAsia="Calibri" w:cstheme="minorHAnsi"/>
          <w:color w:val="000000" w:themeColor="text1"/>
        </w:rPr>
        <w:t>.</w:t>
      </w:r>
    </w:p>
    <w:p w14:paraId="66BF6D71" w14:textId="4ABC9091" w:rsidR="001B3A76" w:rsidRDefault="00714C7B" w:rsidP="00216E7B">
      <w:pPr>
        <w:pStyle w:val="ListParagraph"/>
        <w:numPr>
          <w:ilvl w:val="0"/>
          <w:numId w:val="2"/>
        </w:numPr>
        <w:spacing w:after="0"/>
        <w:rPr>
          <w:rFonts w:eastAsia="Calibri" w:cstheme="minorHAnsi"/>
          <w:color w:val="000000" w:themeColor="text1"/>
        </w:rPr>
      </w:pPr>
      <w:hyperlink r:id="rId18" w:history="1">
        <w:r w:rsidR="001B3A76" w:rsidRPr="001B3A76">
          <w:rPr>
            <w:rStyle w:val="Hyperlink"/>
            <w:rFonts w:eastAsia="Calibri" w:cstheme="minorHAnsi"/>
          </w:rPr>
          <w:t>Key Informant Interviews to Inform Nutrition and Physical Activity Efforts in Child Care Settings During the COVID-19 Pandemic</w:t>
        </w:r>
      </w:hyperlink>
      <w:r w:rsidR="001B3A76">
        <w:rPr>
          <w:rFonts w:eastAsia="Calibri" w:cstheme="minorHAnsi"/>
          <w:color w:val="000000" w:themeColor="text1"/>
        </w:rPr>
        <w:t xml:space="preserve">: published June 2022 in </w:t>
      </w:r>
      <w:r w:rsidR="001B3A76" w:rsidRPr="00E60EB4">
        <w:rPr>
          <w:rFonts w:eastAsia="Calibri" w:cstheme="minorHAnsi"/>
          <w:i/>
          <w:color w:val="000000" w:themeColor="text1"/>
        </w:rPr>
        <w:t>Frontiers in Public Health</w:t>
      </w:r>
      <w:r w:rsidR="001B3A76">
        <w:rPr>
          <w:rFonts w:eastAsia="Calibri" w:cstheme="minorHAnsi"/>
          <w:color w:val="000000" w:themeColor="text1"/>
        </w:rPr>
        <w:t>.</w:t>
      </w:r>
    </w:p>
    <w:p w14:paraId="4F5A2EF6" w14:textId="77777777" w:rsidR="00E11475" w:rsidRPr="00616FF4" w:rsidRDefault="00E11475" w:rsidP="00216E7B">
      <w:pPr>
        <w:pStyle w:val="ListParagraph"/>
        <w:spacing w:after="0"/>
        <w:ind w:left="360"/>
        <w:rPr>
          <w:rFonts w:eastAsia="Calibri" w:cstheme="minorHAnsi"/>
          <w:color w:val="000000" w:themeColor="text1"/>
        </w:rPr>
      </w:pPr>
    </w:p>
    <w:p w14:paraId="71E69C60" w14:textId="02AD08DC" w:rsidR="00E349D3" w:rsidRPr="00616FF4" w:rsidRDefault="00235386" w:rsidP="00216E7B">
      <w:pPr>
        <w:spacing w:line="276" w:lineRule="auto"/>
        <w:contextualSpacing/>
        <w:rPr>
          <w:rFonts w:eastAsia="Calibri" w:cstheme="minorHAnsi"/>
          <w:b/>
          <w:bCs/>
          <w:color w:val="000000" w:themeColor="text1"/>
          <w:sz w:val="22"/>
          <w:szCs w:val="22"/>
        </w:rPr>
      </w:pPr>
      <w:r w:rsidRPr="00616FF4">
        <w:rPr>
          <w:rFonts w:eastAsia="Calibri" w:cstheme="minorHAnsi"/>
          <w:b/>
          <w:bCs/>
          <w:color w:val="000000" w:themeColor="text1"/>
          <w:sz w:val="22"/>
          <w:szCs w:val="22"/>
        </w:rPr>
        <w:t xml:space="preserve">Panel Discussion: </w:t>
      </w:r>
      <w:r w:rsidR="00A53153" w:rsidRPr="00616FF4">
        <w:rPr>
          <w:rFonts w:eastAsia="Calibri" w:cstheme="minorHAnsi"/>
          <w:b/>
          <w:bCs/>
          <w:color w:val="000000" w:themeColor="text1"/>
          <w:sz w:val="22"/>
          <w:szCs w:val="22"/>
        </w:rPr>
        <w:t>Data Modernization Efforts Within Our Agencies</w:t>
      </w:r>
    </w:p>
    <w:p w14:paraId="5FF06080" w14:textId="77777777" w:rsidR="002C1589" w:rsidRPr="00616FF4" w:rsidRDefault="002C1589" w:rsidP="00216E7B">
      <w:pPr>
        <w:spacing w:line="276" w:lineRule="auto"/>
        <w:contextualSpacing/>
        <w:rPr>
          <w:rFonts w:cstheme="minorHAnsi"/>
          <w:i/>
          <w:iCs/>
          <w:sz w:val="22"/>
          <w:szCs w:val="22"/>
        </w:rPr>
      </w:pPr>
      <w:r w:rsidRPr="00616FF4">
        <w:rPr>
          <w:rFonts w:cstheme="minorHAnsi"/>
          <w:sz w:val="22"/>
          <w:szCs w:val="22"/>
        </w:rPr>
        <w:t xml:space="preserve">Moderator: </w:t>
      </w:r>
      <w:r w:rsidRPr="00616FF4">
        <w:rPr>
          <w:rFonts w:cstheme="minorHAnsi"/>
          <w:i/>
          <w:iCs/>
          <w:sz w:val="22"/>
          <w:szCs w:val="22"/>
        </w:rPr>
        <w:t>Karen Hilyard, NCCOR Coordinating Center</w:t>
      </w:r>
    </w:p>
    <w:p w14:paraId="23B3045D" w14:textId="77777777" w:rsidR="002C1589" w:rsidRPr="000F5FC8" w:rsidRDefault="002C1589" w:rsidP="00216E7B">
      <w:pPr>
        <w:spacing w:line="276" w:lineRule="auto"/>
        <w:contextualSpacing/>
        <w:rPr>
          <w:rFonts w:cstheme="minorHAnsi"/>
          <w:i/>
          <w:iCs/>
          <w:sz w:val="16"/>
          <w:szCs w:val="16"/>
        </w:rPr>
      </w:pPr>
    </w:p>
    <w:p w14:paraId="73559AD2" w14:textId="52149D13" w:rsidR="002C1589" w:rsidRPr="00616FF4" w:rsidRDefault="002C1589" w:rsidP="00216E7B">
      <w:pPr>
        <w:spacing w:line="276" w:lineRule="auto"/>
        <w:contextualSpacing/>
        <w:rPr>
          <w:rFonts w:eastAsia="Calibri" w:cstheme="minorHAnsi"/>
          <w:color w:val="000000" w:themeColor="text1"/>
          <w:sz w:val="22"/>
          <w:szCs w:val="22"/>
        </w:rPr>
      </w:pPr>
      <w:r w:rsidRPr="00616FF4">
        <w:rPr>
          <w:rFonts w:eastAsia="Calibri" w:cstheme="minorHAnsi"/>
          <w:color w:val="000000" w:themeColor="text1"/>
          <w:sz w:val="22"/>
          <w:szCs w:val="22"/>
        </w:rPr>
        <w:t xml:space="preserve">Representatives from the four NCCOR member </w:t>
      </w:r>
      <w:r w:rsidR="00EA3BA5">
        <w:rPr>
          <w:rFonts w:eastAsia="Calibri" w:cstheme="minorHAnsi"/>
          <w:color w:val="000000" w:themeColor="text1"/>
          <w:sz w:val="22"/>
          <w:szCs w:val="22"/>
        </w:rPr>
        <w:t>entities</w:t>
      </w:r>
      <w:r w:rsidRPr="00616FF4">
        <w:rPr>
          <w:rFonts w:eastAsia="Calibri" w:cstheme="minorHAnsi"/>
          <w:color w:val="000000" w:themeColor="text1"/>
          <w:sz w:val="22"/>
          <w:szCs w:val="22"/>
        </w:rPr>
        <w:t xml:space="preserve"> shared examples of data modernization in </w:t>
      </w:r>
      <w:r w:rsidR="00EA3BA5">
        <w:rPr>
          <w:rFonts w:eastAsia="Calibri" w:cstheme="minorHAnsi"/>
          <w:color w:val="000000" w:themeColor="text1"/>
          <w:sz w:val="22"/>
          <w:szCs w:val="22"/>
        </w:rPr>
        <w:t>organizations</w:t>
      </w:r>
      <w:r w:rsidRPr="00616FF4">
        <w:rPr>
          <w:rFonts w:eastAsia="Calibri" w:cstheme="minorHAnsi"/>
          <w:color w:val="000000" w:themeColor="text1"/>
          <w:sz w:val="22"/>
          <w:szCs w:val="22"/>
        </w:rPr>
        <w:t>.</w:t>
      </w:r>
    </w:p>
    <w:p w14:paraId="1D1FA54F" w14:textId="77777777" w:rsidR="002C1589" w:rsidRPr="000F5FC8" w:rsidRDefault="002C1589" w:rsidP="00216E7B">
      <w:pPr>
        <w:spacing w:line="276" w:lineRule="auto"/>
        <w:contextualSpacing/>
        <w:rPr>
          <w:rFonts w:cstheme="minorHAnsi"/>
          <w:i/>
          <w:iCs/>
          <w:sz w:val="16"/>
          <w:szCs w:val="16"/>
        </w:rPr>
      </w:pPr>
    </w:p>
    <w:p w14:paraId="60B72458" w14:textId="27653A02" w:rsidR="00A53153" w:rsidRPr="00616FF4" w:rsidRDefault="00A53153" w:rsidP="00216E7B">
      <w:pPr>
        <w:spacing w:line="276" w:lineRule="auto"/>
        <w:contextualSpacing/>
        <w:rPr>
          <w:rFonts w:cstheme="minorHAnsi"/>
          <w:i/>
          <w:iCs/>
          <w:sz w:val="22"/>
          <w:szCs w:val="22"/>
        </w:rPr>
      </w:pPr>
      <w:r w:rsidRPr="00616FF4">
        <w:rPr>
          <w:rFonts w:eastAsia="Candara" w:cstheme="minorHAnsi"/>
          <w:i/>
          <w:iCs/>
          <w:sz w:val="22"/>
          <w:szCs w:val="22"/>
        </w:rPr>
        <w:t>Deb Galuska, PhD, MPH, Centers for Disease Control and Prevention</w:t>
      </w:r>
      <w:r w:rsidR="00F6410D">
        <w:rPr>
          <w:rFonts w:eastAsia="Candara" w:cstheme="minorHAnsi"/>
          <w:i/>
          <w:iCs/>
          <w:sz w:val="22"/>
          <w:szCs w:val="22"/>
        </w:rPr>
        <w:t xml:space="preserve"> </w:t>
      </w:r>
    </w:p>
    <w:p w14:paraId="199CE74B" w14:textId="0F9B76C0" w:rsidR="002C1589" w:rsidRDefault="002C1589" w:rsidP="00216E7B">
      <w:pPr>
        <w:spacing w:line="276" w:lineRule="auto"/>
        <w:contextualSpacing/>
        <w:rPr>
          <w:rFonts w:cstheme="minorHAnsi"/>
          <w:sz w:val="22"/>
          <w:szCs w:val="22"/>
        </w:rPr>
      </w:pPr>
      <w:r w:rsidRPr="00616FF4">
        <w:rPr>
          <w:rFonts w:cstheme="minorHAnsi"/>
          <w:sz w:val="22"/>
          <w:szCs w:val="22"/>
        </w:rPr>
        <w:t>D. Galusk</w:t>
      </w:r>
      <w:r w:rsidR="00844EBD" w:rsidRPr="00616FF4">
        <w:rPr>
          <w:rFonts w:cstheme="minorHAnsi"/>
          <w:sz w:val="22"/>
          <w:szCs w:val="22"/>
        </w:rPr>
        <w:t>a summarized the goal of data modernization as getting the right data to the right people at the right time</w:t>
      </w:r>
      <w:r w:rsidR="00EA3BA5">
        <w:rPr>
          <w:rFonts w:cstheme="minorHAnsi"/>
          <w:sz w:val="22"/>
          <w:szCs w:val="22"/>
        </w:rPr>
        <w:t xml:space="preserve"> so that the data can be used for</w:t>
      </w:r>
      <w:r w:rsidR="001B3A76">
        <w:rPr>
          <w:rFonts w:cstheme="minorHAnsi"/>
          <w:sz w:val="22"/>
          <w:szCs w:val="22"/>
        </w:rPr>
        <w:t xml:space="preserve"> action</w:t>
      </w:r>
      <w:r w:rsidR="00844EBD" w:rsidRPr="00616FF4">
        <w:rPr>
          <w:rFonts w:cstheme="minorHAnsi"/>
          <w:sz w:val="22"/>
          <w:szCs w:val="22"/>
        </w:rPr>
        <w:t>.</w:t>
      </w:r>
      <w:r w:rsidR="001B3A76">
        <w:rPr>
          <w:rFonts w:cstheme="minorHAnsi"/>
          <w:sz w:val="22"/>
          <w:szCs w:val="22"/>
        </w:rPr>
        <w:t xml:space="preserve"> This requires putting </w:t>
      </w:r>
      <w:r w:rsidR="00743D3A">
        <w:rPr>
          <w:rFonts w:cstheme="minorHAnsi"/>
          <w:sz w:val="22"/>
          <w:szCs w:val="22"/>
        </w:rPr>
        <w:t xml:space="preserve">the </w:t>
      </w:r>
      <w:r w:rsidR="001B3A76">
        <w:rPr>
          <w:rFonts w:cstheme="minorHAnsi"/>
          <w:sz w:val="22"/>
          <w:szCs w:val="22"/>
        </w:rPr>
        <w:t>appropriate people, processes, and technology in place.</w:t>
      </w:r>
      <w:r w:rsidR="00844EBD" w:rsidRPr="00616FF4">
        <w:rPr>
          <w:rFonts w:cstheme="minorHAnsi"/>
          <w:sz w:val="22"/>
          <w:szCs w:val="22"/>
        </w:rPr>
        <w:t xml:space="preserve"> </w:t>
      </w:r>
      <w:r w:rsidR="0080221F">
        <w:rPr>
          <w:rFonts w:cstheme="minorHAnsi"/>
          <w:sz w:val="22"/>
          <w:szCs w:val="22"/>
        </w:rPr>
        <w:t xml:space="preserve">Four </w:t>
      </w:r>
      <w:r w:rsidR="002F1855">
        <w:rPr>
          <w:rFonts w:cstheme="minorHAnsi"/>
          <w:sz w:val="22"/>
          <w:szCs w:val="22"/>
        </w:rPr>
        <w:t>problems for which</w:t>
      </w:r>
      <w:r w:rsidR="0080221F">
        <w:rPr>
          <w:rFonts w:cstheme="minorHAnsi"/>
          <w:sz w:val="22"/>
          <w:szCs w:val="22"/>
        </w:rPr>
        <w:t xml:space="preserve"> </w:t>
      </w:r>
      <w:r w:rsidR="00E40FCC" w:rsidRPr="00616FF4">
        <w:rPr>
          <w:rFonts w:cstheme="minorHAnsi"/>
          <w:sz w:val="22"/>
          <w:szCs w:val="22"/>
        </w:rPr>
        <w:t xml:space="preserve">CDC’s </w:t>
      </w:r>
      <w:r w:rsidR="0080221F">
        <w:rPr>
          <w:rFonts w:cstheme="minorHAnsi"/>
          <w:sz w:val="22"/>
          <w:szCs w:val="22"/>
        </w:rPr>
        <w:t>Di</w:t>
      </w:r>
      <w:r w:rsidR="00E40FCC" w:rsidRPr="00616FF4">
        <w:rPr>
          <w:rFonts w:cstheme="minorHAnsi"/>
          <w:sz w:val="22"/>
          <w:szCs w:val="22"/>
        </w:rPr>
        <w:t>vision of Nutrition, Physical Activity, and Obesity ha</w:t>
      </w:r>
      <w:r w:rsidR="0080221F">
        <w:rPr>
          <w:rFonts w:cstheme="minorHAnsi"/>
          <w:sz w:val="22"/>
          <w:szCs w:val="22"/>
        </w:rPr>
        <w:t>ve</w:t>
      </w:r>
      <w:r w:rsidR="00E40FCC" w:rsidRPr="00616FF4">
        <w:rPr>
          <w:rFonts w:cstheme="minorHAnsi"/>
          <w:sz w:val="22"/>
          <w:szCs w:val="22"/>
        </w:rPr>
        <w:t xml:space="preserve"> used data modernization to</w:t>
      </w:r>
      <w:r w:rsidR="00F6410D">
        <w:rPr>
          <w:rFonts w:cstheme="minorHAnsi"/>
          <w:sz w:val="22"/>
          <w:szCs w:val="22"/>
        </w:rPr>
        <w:t xml:space="preserve"> </w:t>
      </w:r>
      <w:r w:rsidR="002F1855">
        <w:rPr>
          <w:rFonts w:cstheme="minorHAnsi"/>
          <w:sz w:val="22"/>
          <w:szCs w:val="22"/>
        </w:rPr>
        <w:t xml:space="preserve">develop a </w:t>
      </w:r>
      <w:r w:rsidR="00F6410D">
        <w:rPr>
          <w:rFonts w:cstheme="minorHAnsi"/>
          <w:sz w:val="22"/>
          <w:szCs w:val="22"/>
        </w:rPr>
        <w:t xml:space="preserve">solution </w:t>
      </w:r>
      <w:r w:rsidR="002F1855">
        <w:rPr>
          <w:rFonts w:cstheme="minorHAnsi"/>
          <w:sz w:val="22"/>
          <w:szCs w:val="22"/>
        </w:rPr>
        <w:t>i</w:t>
      </w:r>
      <w:r w:rsidR="0080221F">
        <w:rPr>
          <w:rFonts w:cstheme="minorHAnsi"/>
          <w:sz w:val="22"/>
          <w:szCs w:val="22"/>
        </w:rPr>
        <w:t>nclude</w:t>
      </w:r>
      <w:r w:rsidR="00E40FCC" w:rsidRPr="00616FF4">
        <w:rPr>
          <w:rFonts w:cstheme="minorHAnsi"/>
          <w:sz w:val="22"/>
          <w:szCs w:val="22"/>
        </w:rPr>
        <w:t>:</w:t>
      </w:r>
    </w:p>
    <w:p w14:paraId="2E68B402" w14:textId="77777777" w:rsidR="00B076FF" w:rsidRPr="00B076FF" w:rsidRDefault="00B076FF" w:rsidP="00216E7B">
      <w:pPr>
        <w:spacing w:line="276" w:lineRule="auto"/>
        <w:contextualSpacing/>
        <w:rPr>
          <w:rFonts w:cstheme="minorHAnsi"/>
          <w:sz w:val="16"/>
          <w:szCs w:val="16"/>
        </w:rPr>
      </w:pPr>
    </w:p>
    <w:p w14:paraId="723BD1D8" w14:textId="28248D82" w:rsidR="00E40FCC" w:rsidRPr="00616FF4" w:rsidRDefault="00E40FCC" w:rsidP="00216E7B">
      <w:pPr>
        <w:pStyle w:val="ListParagraph"/>
        <w:numPr>
          <w:ilvl w:val="0"/>
          <w:numId w:val="23"/>
        </w:numPr>
        <w:spacing w:after="0"/>
        <w:rPr>
          <w:rFonts w:cstheme="minorHAnsi"/>
        </w:rPr>
      </w:pPr>
      <w:r w:rsidRPr="00616FF4">
        <w:rPr>
          <w:rFonts w:cstheme="minorHAnsi"/>
        </w:rPr>
        <w:t>Need to understand clinical actions related to the screening and treatment of obesity</w:t>
      </w:r>
      <w:r w:rsidR="003B0DC6" w:rsidRPr="00616FF4">
        <w:rPr>
          <w:rFonts w:cstheme="minorHAnsi"/>
        </w:rPr>
        <w:t>;</w:t>
      </w:r>
      <w:r w:rsidRPr="00616FF4">
        <w:rPr>
          <w:rFonts w:cstheme="minorHAnsi"/>
        </w:rPr>
        <w:t xml:space="preserve"> need to identify comorbidities linked with obesity</w:t>
      </w:r>
      <w:r w:rsidR="00E83493" w:rsidRPr="00616FF4">
        <w:rPr>
          <w:rFonts w:cstheme="minorHAnsi"/>
        </w:rPr>
        <w:t>—</w:t>
      </w:r>
      <w:r w:rsidR="00A80895">
        <w:rPr>
          <w:rFonts w:cstheme="minorHAnsi"/>
        </w:rPr>
        <w:t xml:space="preserve">solution was </w:t>
      </w:r>
      <w:r w:rsidR="00D1322E" w:rsidRPr="00616FF4">
        <w:rPr>
          <w:rFonts w:cstheme="minorHAnsi"/>
        </w:rPr>
        <w:t>compil</w:t>
      </w:r>
      <w:r w:rsidR="00A80895">
        <w:rPr>
          <w:rFonts w:cstheme="minorHAnsi"/>
        </w:rPr>
        <w:t>ing</w:t>
      </w:r>
      <w:r w:rsidR="00D1322E" w:rsidRPr="00616FF4">
        <w:rPr>
          <w:rFonts w:cstheme="minorHAnsi"/>
        </w:rPr>
        <w:t xml:space="preserve"> electronic medical record data to examine</w:t>
      </w:r>
      <w:r w:rsidR="0083660C">
        <w:rPr>
          <w:rFonts w:cstheme="minorHAnsi"/>
        </w:rPr>
        <w:t>:</w:t>
      </w:r>
      <w:r w:rsidR="00D1322E" w:rsidRPr="00616FF4">
        <w:rPr>
          <w:rFonts w:cstheme="minorHAnsi"/>
        </w:rPr>
        <w:t xml:space="preserve"> the associations between BMI and risk for COVID-19 related hospitalization, ICU admission, invasive mechanical ventilation, and death; longitudinal trends in BMI before and during the COVID-19 pandemic among children and adolescents; and underlying medical conditions and severe illness </w:t>
      </w:r>
      <w:r w:rsidR="0083522E" w:rsidRPr="00616FF4">
        <w:rPr>
          <w:rFonts w:cstheme="minorHAnsi"/>
        </w:rPr>
        <w:t>among adults hospitalized with COVID-19.</w:t>
      </w:r>
      <w:r w:rsidR="007E31E9" w:rsidRPr="00616FF4">
        <w:rPr>
          <w:rFonts w:cstheme="minorHAnsi"/>
        </w:rPr>
        <w:t xml:space="preserve"> An automated tool called </w:t>
      </w:r>
      <w:hyperlink r:id="rId19" w:history="1">
        <w:r w:rsidR="007E31E9" w:rsidRPr="00616FF4">
          <w:rPr>
            <w:rStyle w:val="Hyperlink"/>
            <w:rFonts w:cstheme="minorHAnsi"/>
          </w:rPr>
          <w:t>growthcleanr</w:t>
        </w:r>
      </w:hyperlink>
      <w:r w:rsidR="007E31E9" w:rsidRPr="00616FF4">
        <w:rPr>
          <w:rFonts w:cstheme="minorHAnsi"/>
        </w:rPr>
        <w:t xml:space="preserve"> was used to clean longitudinal weight and height data from </w:t>
      </w:r>
      <w:r w:rsidR="00743D3A">
        <w:rPr>
          <w:rFonts w:cstheme="minorHAnsi"/>
        </w:rPr>
        <w:t xml:space="preserve">electronic health records </w:t>
      </w:r>
      <w:r w:rsidR="00B63640">
        <w:rPr>
          <w:rFonts w:cstheme="minorHAnsi"/>
        </w:rPr>
        <w:t>(</w:t>
      </w:r>
      <w:r w:rsidR="007E31E9" w:rsidRPr="00616FF4">
        <w:rPr>
          <w:rFonts w:cstheme="minorHAnsi"/>
        </w:rPr>
        <w:t>EHRs</w:t>
      </w:r>
      <w:r w:rsidR="00B63640">
        <w:rPr>
          <w:rFonts w:cstheme="minorHAnsi"/>
        </w:rPr>
        <w:t>)</w:t>
      </w:r>
      <w:r w:rsidR="007E31E9" w:rsidRPr="00616FF4">
        <w:rPr>
          <w:rFonts w:cstheme="minorHAnsi"/>
        </w:rPr>
        <w:t xml:space="preserve"> and flag implausible values. </w:t>
      </w:r>
    </w:p>
    <w:p w14:paraId="3646C119" w14:textId="5868E402" w:rsidR="00382E8A" w:rsidRPr="00616FF4" w:rsidRDefault="003B0DC6" w:rsidP="00216E7B">
      <w:pPr>
        <w:pStyle w:val="ListParagraph"/>
        <w:numPr>
          <w:ilvl w:val="0"/>
          <w:numId w:val="23"/>
        </w:numPr>
        <w:spacing w:after="0"/>
        <w:rPr>
          <w:rFonts w:cstheme="minorHAnsi"/>
        </w:rPr>
      </w:pPr>
      <w:r w:rsidRPr="00616FF4">
        <w:rPr>
          <w:rFonts w:cstheme="minorHAnsi"/>
        </w:rPr>
        <w:t xml:space="preserve">Lack of local data on obesity and </w:t>
      </w:r>
      <w:r w:rsidR="00C62443" w:rsidRPr="00616FF4">
        <w:rPr>
          <w:rFonts w:cstheme="minorHAnsi"/>
        </w:rPr>
        <w:t>what populations are</w:t>
      </w:r>
      <w:r w:rsidRPr="00616FF4">
        <w:rPr>
          <w:rFonts w:cstheme="minorHAnsi"/>
        </w:rPr>
        <w:t xml:space="preserve"> most affected; inability to link actions in the clinical setting with actions in the community; and limited information on the natural history of obesity</w:t>
      </w:r>
      <w:r w:rsidR="00AE284F" w:rsidRPr="00616FF4">
        <w:rPr>
          <w:rFonts w:cstheme="minorHAnsi"/>
        </w:rPr>
        <w:t>—</w:t>
      </w:r>
      <w:r w:rsidR="00824683" w:rsidRPr="00616FF4">
        <w:rPr>
          <w:rFonts w:cstheme="minorHAnsi"/>
        </w:rPr>
        <w:t xml:space="preserve">the </w:t>
      </w:r>
      <w:hyperlink r:id="rId20" w:history="1">
        <w:r w:rsidR="00824683" w:rsidRPr="003C0DEB">
          <w:rPr>
            <w:rStyle w:val="Hyperlink"/>
            <w:rFonts w:cstheme="minorHAnsi"/>
          </w:rPr>
          <w:t>Clinical and Community Data Initiative (CODI)</w:t>
        </w:r>
      </w:hyperlink>
      <w:r w:rsidR="00824683" w:rsidRPr="00616FF4">
        <w:rPr>
          <w:rFonts w:cstheme="minorHAnsi"/>
        </w:rPr>
        <w:t xml:space="preserve"> uses modern technology to </w:t>
      </w:r>
      <w:r w:rsidR="00A25CC0" w:rsidRPr="00616FF4">
        <w:rPr>
          <w:rFonts w:cstheme="minorHAnsi"/>
        </w:rPr>
        <w:t>link</w:t>
      </w:r>
      <w:r w:rsidR="00824683" w:rsidRPr="00616FF4">
        <w:rPr>
          <w:rFonts w:cstheme="minorHAnsi"/>
        </w:rPr>
        <w:t xml:space="preserve"> individual</w:t>
      </w:r>
      <w:r w:rsidR="00A25CC0" w:rsidRPr="00616FF4">
        <w:rPr>
          <w:rFonts w:cstheme="minorHAnsi"/>
        </w:rPr>
        <w:t>-level</w:t>
      </w:r>
      <w:r w:rsidR="00824683" w:rsidRPr="00616FF4">
        <w:rPr>
          <w:rFonts w:cstheme="minorHAnsi"/>
        </w:rPr>
        <w:t xml:space="preserve"> data across clinical and community sectors</w:t>
      </w:r>
      <w:r w:rsidR="008F4D5D" w:rsidRPr="00616FF4">
        <w:rPr>
          <w:rFonts w:cstheme="minorHAnsi"/>
        </w:rPr>
        <w:t xml:space="preserve">. </w:t>
      </w:r>
      <w:r w:rsidR="00382E8A" w:rsidRPr="00616FF4">
        <w:rPr>
          <w:rFonts w:cstheme="minorHAnsi"/>
        </w:rPr>
        <w:t xml:space="preserve">As an example, clinical systems capture data on an individual child and CODI enables </w:t>
      </w:r>
      <w:r w:rsidR="00A25CC0" w:rsidRPr="00616FF4">
        <w:rPr>
          <w:rFonts w:cstheme="minorHAnsi"/>
        </w:rPr>
        <w:t>those data</w:t>
      </w:r>
      <w:r w:rsidR="00382E8A" w:rsidRPr="00616FF4">
        <w:rPr>
          <w:rFonts w:cstheme="minorHAnsi"/>
        </w:rPr>
        <w:t xml:space="preserve"> to be linked with community data about the child’s neighborhood safety and access to healthy food and physical activity opportunities. This layering of data</w:t>
      </w:r>
      <w:r w:rsidR="00D22C33" w:rsidRPr="00616FF4">
        <w:rPr>
          <w:rFonts w:cstheme="minorHAnsi"/>
        </w:rPr>
        <w:t xml:space="preserve"> provides insight into chronic conditions and </w:t>
      </w:r>
      <w:r w:rsidR="00743D3A">
        <w:rPr>
          <w:rFonts w:cstheme="minorHAnsi"/>
        </w:rPr>
        <w:t>social determinants of health (</w:t>
      </w:r>
      <w:r w:rsidR="00D22C33" w:rsidRPr="00616FF4">
        <w:rPr>
          <w:rFonts w:cstheme="minorHAnsi"/>
        </w:rPr>
        <w:t>SDOH</w:t>
      </w:r>
      <w:r w:rsidR="00743D3A">
        <w:rPr>
          <w:rFonts w:cstheme="minorHAnsi"/>
        </w:rPr>
        <w:t>)</w:t>
      </w:r>
      <w:r w:rsidR="00D22C33" w:rsidRPr="00616FF4">
        <w:rPr>
          <w:rFonts w:cstheme="minorHAnsi"/>
        </w:rPr>
        <w:t xml:space="preserve"> associated with obesity as well as opportunities and</w:t>
      </w:r>
      <w:r w:rsidR="00382E8A" w:rsidRPr="00616FF4">
        <w:rPr>
          <w:rFonts w:cstheme="minorHAnsi"/>
        </w:rPr>
        <w:t xml:space="preserve"> can help researchers evaluate the impact of services, policies, and programs. </w:t>
      </w:r>
      <w:r w:rsidR="0083660C">
        <w:rPr>
          <w:rFonts w:cstheme="minorHAnsi"/>
        </w:rPr>
        <w:t>I</w:t>
      </w:r>
      <w:r w:rsidR="00382E8A" w:rsidRPr="00616FF4">
        <w:rPr>
          <w:rFonts w:cstheme="minorHAnsi"/>
        </w:rPr>
        <w:t xml:space="preserve">ndividual privacy is preserved while linking records through a process called data hashing.  </w:t>
      </w:r>
    </w:p>
    <w:p w14:paraId="0239CFA7" w14:textId="2482F855" w:rsidR="003B0DC6" w:rsidRPr="00616FF4" w:rsidRDefault="003B0DC6" w:rsidP="00216E7B">
      <w:pPr>
        <w:pStyle w:val="ListParagraph"/>
        <w:numPr>
          <w:ilvl w:val="0"/>
          <w:numId w:val="23"/>
        </w:numPr>
        <w:spacing w:after="0"/>
        <w:rPr>
          <w:rFonts w:cstheme="minorHAnsi"/>
        </w:rPr>
      </w:pPr>
      <w:r w:rsidRPr="00616FF4">
        <w:rPr>
          <w:rFonts w:cstheme="minorHAnsi"/>
        </w:rPr>
        <w:t>Lack of local data on physical activity</w:t>
      </w:r>
      <w:r w:rsidR="0084692B" w:rsidRPr="00616FF4">
        <w:rPr>
          <w:rFonts w:cstheme="minorHAnsi"/>
        </w:rPr>
        <w:t xml:space="preserve"> (PA)</w:t>
      </w:r>
      <w:r w:rsidRPr="00616FF4">
        <w:rPr>
          <w:rFonts w:cstheme="minorHAnsi"/>
        </w:rPr>
        <w:t xml:space="preserve">; limited data on environmental supports for </w:t>
      </w:r>
      <w:r w:rsidR="0084692B" w:rsidRPr="00616FF4">
        <w:rPr>
          <w:rFonts w:cstheme="minorHAnsi"/>
        </w:rPr>
        <w:t>PA</w:t>
      </w:r>
      <w:r w:rsidRPr="00616FF4">
        <w:rPr>
          <w:rFonts w:cstheme="minorHAnsi"/>
        </w:rPr>
        <w:t xml:space="preserve"> at local levels; and difficulty linking local </w:t>
      </w:r>
      <w:r w:rsidR="00D528A7" w:rsidRPr="00616FF4">
        <w:rPr>
          <w:rFonts w:cstheme="minorHAnsi"/>
        </w:rPr>
        <w:t>PA</w:t>
      </w:r>
      <w:r w:rsidRPr="00616FF4">
        <w:rPr>
          <w:rFonts w:cstheme="minorHAnsi"/>
        </w:rPr>
        <w:t xml:space="preserve"> behaviors with environmental/policy data</w:t>
      </w:r>
      <w:r w:rsidR="0002793A" w:rsidRPr="00616FF4">
        <w:rPr>
          <w:rFonts w:cstheme="minorHAnsi"/>
        </w:rPr>
        <w:t>—</w:t>
      </w:r>
      <w:r w:rsidR="0084692B" w:rsidRPr="00616FF4">
        <w:rPr>
          <w:rFonts w:cstheme="minorHAnsi"/>
        </w:rPr>
        <w:t>the</w:t>
      </w:r>
      <w:r w:rsidR="000C6087">
        <w:rPr>
          <w:rFonts w:cstheme="minorHAnsi"/>
        </w:rPr>
        <w:t xml:space="preserve"> Division’s</w:t>
      </w:r>
      <w:r w:rsidR="0084692B" w:rsidRPr="00616FF4">
        <w:rPr>
          <w:rFonts w:cstheme="minorHAnsi"/>
        </w:rPr>
        <w:t xml:space="preserve"> PA data modernization initiative identifies and assesses use of secondary data for PA surveillance </w:t>
      </w:r>
      <w:r w:rsidR="00D528A7" w:rsidRPr="00616FF4">
        <w:rPr>
          <w:rFonts w:cstheme="minorHAnsi"/>
        </w:rPr>
        <w:t xml:space="preserve">(movement data from location-based app services, built environment data from imagery such as </w:t>
      </w:r>
      <w:r w:rsidR="00D528A7" w:rsidRPr="00616FF4">
        <w:rPr>
          <w:rFonts w:cstheme="minorHAnsi"/>
        </w:rPr>
        <w:lastRenderedPageBreak/>
        <w:t xml:space="preserve">Google Street View, and policy data from digital law on Complete Street policies, land use and zoning, </w:t>
      </w:r>
      <w:r w:rsidR="003D7869" w:rsidRPr="00616FF4">
        <w:rPr>
          <w:rFonts w:cstheme="minorHAnsi"/>
        </w:rPr>
        <w:t>etc.</w:t>
      </w:r>
      <w:r w:rsidR="00D528A7" w:rsidRPr="00616FF4">
        <w:rPr>
          <w:rFonts w:cstheme="minorHAnsi"/>
        </w:rPr>
        <w:t>). A long-term goal is to conduct policy surveillance via machine learning processes.</w:t>
      </w:r>
    </w:p>
    <w:p w14:paraId="30F937DA" w14:textId="27B4C03D" w:rsidR="003B0DC6" w:rsidRPr="00616FF4" w:rsidRDefault="003B0DC6" w:rsidP="00216E7B">
      <w:pPr>
        <w:pStyle w:val="ListParagraph"/>
        <w:numPr>
          <w:ilvl w:val="0"/>
          <w:numId w:val="23"/>
        </w:numPr>
        <w:spacing w:after="0"/>
        <w:rPr>
          <w:rFonts w:cstheme="minorHAnsi"/>
        </w:rPr>
      </w:pPr>
      <w:r w:rsidRPr="00616FF4">
        <w:rPr>
          <w:rFonts w:cstheme="minorHAnsi"/>
        </w:rPr>
        <w:t>Lack of easily accessible data on diet and physical activity for funded program recipients</w:t>
      </w:r>
      <w:r w:rsidR="00277EA7">
        <w:rPr>
          <w:rFonts w:cstheme="minorHAnsi"/>
        </w:rPr>
        <w:t xml:space="preserve"> to </w:t>
      </w:r>
      <w:r w:rsidR="00F36849" w:rsidRPr="00F36849">
        <w:rPr>
          <w:rFonts w:cstheme="minorHAnsi"/>
        </w:rPr>
        <w:t>recipients to inform their decision makers about program successes and needs</w:t>
      </w:r>
      <w:r w:rsidR="00277EA7">
        <w:rPr>
          <w:rFonts w:cstheme="minorHAnsi"/>
        </w:rPr>
        <w:t xml:space="preserve"> to their decision makers</w:t>
      </w:r>
      <w:r w:rsidR="00C659A5" w:rsidRPr="00616FF4">
        <w:rPr>
          <w:rFonts w:cstheme="minorHAnsi"/>
        </w:rPr>
        <w:t xml:space="preserve">—an </w:t>
      </w:r>
      <w:hyperlink r:id="rId21" w:history="1">
        <w:r w:rsidR="00C659A5" w:rsidRPr="00616FF4">
          <w:rPr>
            <w:rStyle w:val="Hyperlink"/>
            <w:rFonts w:cstheme="minorHAnsi"/>
          </w:rPr>
          <w:t>interactive database</w:t>
        </w:r>
      </w:hyperlink>
      <w:r w:rsidR="00C659A5" w:rsidRPr="00616FF4">
        <w:rPr>
          <w:rFonts w:cstheme="minorHAnsi"/>
        </w:rPr>
        <w:t xml:space="preserve"> houses ~60 national and state-level health and behavior indicators and environmental and policy supports for </w:t>
      </w:r>
      <w:r w:rsidR="00954963" w:rsidRPr="00616FF4">
        <w:rPr>
          <w:rFonts w:cstheme="minorHAnsi"/>
        </w:rPr>
        <w:t>fruit/vegetable intake, sugary drink intake, and more.</w:t>
      </w:r>
      <w:r w:rsidR="00277EA7">
        <w:rPr>
          <w:rFonts w:cstheme="minorHAnsi"/>
        </w:rPr>
        <w:t xml:space="preserve"> Enhancements to this database are under consideration.</w:t>
      </w:r>
    </w:p>
    <w:p w14:paraId="4E39A2BB" w14:textId="77777777" w:rsidR="002C1589" w:rsidRPr="00616FF4" w:rsidRDefault="002C1589" w:rsidP="00216E7B">
      <w:pPr>
        <w:spacing w:line="276" w:lineRule="auto"/>
        <w:contextualSpacing/>
        <w:rPr>
          <w:rFonts w:eastAsia="Candara" w:cstheme="minorHAnsi"/>
          <w:i/>
          <w:iCs/>
          <w:sz w:val="22"/>
          <w:szCs w:val="22"/>
        </w:rPr>
      </w:pPr>
    </w:p>
    <w:p w14:paraId="6CFA224D" w14:textId="2C37C9D0" w:rsidR="00A53153" w:rsidRPr="00616FF4" w:rsidRDefault="00A53153" w:rsidP="00216E7B">
      <w:pPr>
        <w:spacing w:line="276" w:lineRule="auto"/>
        <w:contextualSpacing/>
        <w:rPr>
          <w:rFonts w:cstheme="minorHAnsi"/>
          <w:i/>
          <w:iCs/>
          <w:sz w:val="22"/>
          <w:szCs w:val="22"/>
        </w:rPr>
      </w:pPr>
      <w:r w:rsidRPr="00616FF4">
        <w:rPr>
          <w:rFonts w:eastAsia="Candara" w:cstheme="minorHAnsi"/>
          <w:i/>
          <w:iCs/>
          <w:sz w:val="22"/>
          <w:szCs w:val="22"/>
        </w:rPr>
        <w:t>James McClain, PhD, MPH, National Institutes of Health</w:t>
      </w:r>
    </w:p>
    <w:p w14:paraId="14CA9D56" w14:textId="1F92B5A4" w:rsidR="00887B83" w:rsidRPr="000023F1" w:rsidRDefault="00F3417A" w:rsidP="00216E7B">
      <w:pPr>
        <w:spacing w:line="276" w:lineRule="auto"/>
        <w:contextualSpacing/>
        <w:rPr>
          <w:rFonts w:cstheme="minorHAnsi"/>
          <w:sz w:val="22"/>
          <w:szCs w:val="22"/>
        </w:rPr>
      </w:pPr>
      <w:r w:rsidRPr="00616FF4">
        <w:rPr>
          <w:rFonts w:cstheme="minorHAnsi"/>
          <w:sz w:val="22"/>
          <w:szCs w:val="22"/>
        </w:rPr>
        <w:t xml:space="preserve">J. McClain </w:t>
      </w:r>
      <w:r w:rsidR="00992CD7" w:rsidRPr="00616FF4">
        <w:rPr>
          <w:rFonts w:cstheme="minorHAnsi"/>
          <w:sz w:val="22"/>
          <w:szCs w:val="22"/>
        </w:rPr>
        <w:t xml:space="preserve">provided an overview of the </w:t>
      </w:r>
      <w:hyperlink r:id="rId22" w:history="1">
        <w:r w:rsidR="00992CD7" w:rsidRPr="003C0DEB">
          <w:rPr>
            <w:rStyle w:val="Hyperlink"/>
            <w:rFonts w:cstheme="minorHAnsi"/>
            <w:sz w:val="22"/>
            <w:szCs w:val="22"/>
          </w:rPr>
          <w:t>NIH All of Us</w:t>
        </w:r>
      </w:hyperlink>
      <w:r w:rsidR="00992CD7" w:rsidRPr="00616FF4">
        <w:rPr>
          <w:rFonts w:cstheme="minorHAnsi"/>
          <w:sz w:val="22"/>
          <w:szCs w:val="22"/>
        </w:rPr>
        <w:t xml:space="preserve"> research program</w:t>
      </w:r>
      <w:r w:rsidR="000023F1">
        <w:rPr>
          <w:rFonts w:cstheme="minorHAnsi"/>
          <w:sz w:val="22"/>
          <w:szCs w:val="22"/>
        </w:rPr>
        <w:t>—</w:t>
      </w:r>
      <w:r w:rsidR="00A81893">
        <w:rPr>
          <w:rFonts w:cstheme="minorHAnsi"/>
          <w:sz w:val="22"/>
          <w:szCs w:val="22"/>
        </w:rPr>
        <w:t>which aims to enroll one million participants</w:t>
      </w:r>
      <w:r w:rsidR="000023F1">
        <w:rPr>
          <w:rFonts w:cstheme="minorHAnsi"/>
          <w:sz w:val="22"/>
          <w:szCs w:val="22"/>
        </w:rPr>
        <w:t>—</w:t>
      </w:r>
      <w:r w:rsidR="00992CD7" w:rsidRPr="00616FF4">
        <w:rPr>
          <w:rFonts w:cstheme="minorHAnsi"/>
          <w:sz w:val="22"/>
          <w:szCs w:val="22"/>
        </w:rPr>
        <w:t xml:space="preserve">and </w:t>
      </w:r>
      <w:r w:rsidR="00A81893">
        <w:rPr>
          <w:rFonts w:cstheme="minorHAnsi"/>
          <w:sz w:val="22"/>
          <w:szCs w:val="22"/>
        </w:rPr>
        <w:t xml:space="preserve">its </w:t>
      </w:r>
      <w:r w:rsidR="00992CD7" w:rsidRPr="00616FF4">
        <w:rPr>
          <w:rFonts w:cstheme="minorHAnsi"/>
          <w:sz w:val="22"/>
          <w:szCs w:val="22"/>
        </w:rPr>
        <w:t>protocol.</w:t>
      </w:r>
      <w:r w:rsidR="000023F1">
        <w:rPr>
          <w:rFonts w:cstheme="minorHAnsi"/>
          <w:sz w:val="22"/>
          <w:szCs w:val="22"/>
        </w:rPr>
        <w:t xml:space="preserve"> </w:t>
      </w:r>
      <w:r w:rsidR="000023F1" w:rsidRPr="000023F1">
        <w:rPr>
          <w:rFonts w:cstheme="minorHAnsi"/>
          <w:sz w:val="22"/>
          <w:szCs w:val="22"/>
        </w:rPr>
        <w:t>The p</w:t>
      </w:r>
      <w:r w:rsidR="00887B83" w:rsidRPr="000023F1">
        <w:rPr>
          <w:rFonts w:cstheme="minorHAnsi"/>
          <w:sz w:val="22"/>
          <w:szCs w:val="22"/>
        </w:rPr>
        <w:t>rogram includes a rich diversity of participants and data, although the sample is not nationally representative and not all participants have all data types.</w:t>
      </w:r>
    </w:p>
    <w:p w14:paraId="2CC4CBC9" w14:textId="77777777" w:rsidR="00887B83" w:rsidRPr="00B076FF" w:rsidRDefault="00887B83" w:rsidP="00216E7B">
      <w:pPr>
        <w:spacing w:line="276" w:lineRule="auto"/>
        <w:contextualSpacing/>
        <w:rPr>
          <w:rFonts w:cstheme="minorHAnsi"/>
          <w:sz w:val="16"/>
          <w:szCs w:val="16"/>
        </w:rPr>
      </w:pPr>
    </w:p>
    <w:p w14:paraId="7E1E176B" w14:textId="1D557065" w:rsidR="00BC2E9E" w:rsidRPr="00616FF4" w:rsidRDefault="00992CD7" w:rsidP="00216E7B">
      <w:pPr>
        <w:pStyle w:val="ListParagraph"/>
        <w:numPr>
          <w:ilvl w:val="0"/>
          <w:numId w:val="14"/>
        </w:numPr>
        <w:spacing w:after="0"/>
        <w:rPr>
          <w:rFonts w:cstheme="minorHAnsi"/>
        </w:rPr>
      </w:pPr>
      <w:r w:rsidRPr="00616FF4">
        <w:rPr>
          <w:rFonts w:cstheme="minorHAnsi"/>
        </w:rPr>
        <w:t>The program’s mission is to accelerate health research and medical breakthrough</w:t>
      </w:r>
      <w:r w:rsidR="00B63640">
        <w:rPr>
          <w:rFonts w:cstheme="minorHAnsi"/>
        </w:rPr>
        <w:t>s</w:t>
      </w:r>
      <w:r w:rsidR="00C95598" w:rsidRPr="00616FF4">
        <w:rPr>
          <w:rFonts w:cstheme="minorHAnsi"/>
        </w:rPr>
        <w:t xml:space="preserve"> to enable individualized prevention, treatment, and care for everyone living in the United States. It engages people and communities who have been left out of medical research in the past</w:t>
      </w:r>
      <w:r w:rsidR="00B63640">
        <w:rPr>
          <w:rFonts w:cstheme="minorHAnsi"/>
        </w:rPr>
        <w:t>;</w:t>
      </w:r>
      <w:r w:rsidR="00C95598" w:rsidRPr="00616FF4">
        <w:rPr>
          <w:rFonts w:cstheme="minorHAnsi"/>
        </w:rPr>
        <w:t xml:space="preserve"> combines biological factors and social determinants on a large, inclusive scale</w:t>
      </w:r>
      <w:r w:rsidR="00B821CD" w:rsidRPr="00616FF4">
        <w:rPr>
          <w:rFonts w:cstheme="minorHAnsi"/>
        </w:rPr>
        <w:t>; follows participants over time, and makes its rich bio</w:t>
      </w:r>
      <w:r w:rsidR="00FD4C70" w:rsidRPr="00616FF4">
        <w:rPr>
          <w:rFonts w:cstheme="minorHAnsi"/>
        </w:rPr>
        <w:t>medical</w:t>
      </w:r>
      <w:r w:rsidR="00B821CD" w:rsidRPr="00616FF4">
        <w:rPr>
          <w:rFonts w:cstheme="minorHAnsi"/>
        </w:rPr>
        <w:t xml:space="preserve"> dat</w:t>
      </w:r>
      <w:r w:rsidR="00FD4C70" w:rsidRPr="00616FF4">
        <w:rPr>
          <w:rFonts w:cstheme="minorHAnsi"/>
        </w:rPr>
        <w:t>a resources</w:t>
      </w:r>
      <w:r w:rsidR="00B821CD" w:rsidRPr="00616FF4">
        <w:rPr>
          <w:rFonts w:cstheme="minorHAnsi"/>
        </w:rPr>
        <w:t xml:space="preserve"> accessible to researchers. Participants consent to use of their EHR data; answer surveys about lifestyle behaviors, health care access and use, and medical history; undergo </w:t>
      </w:r>
      <w:r w:rsidR="007A052A">
        <w:rPr>
          <w:rFonts w:cstheme="minorHAnsi"/>
        </w:rPr>
        <w:t xml:space="preserve">a </w:t>
      </w:r>
      <w:r w:rsidR="00B821CD" w:rsidRPr="00616FF4">
        <w:rPr>
          <w:rFonts w:cstheme="minorHAnsi"/>
        </w:rPr>
        <w:t>collection of physical measurements, provide biological specimens</w:t>
      </w:r>
      <w:r w:rsidR="00456C3B" w:rsidRPr="00616FF4">
        <w:rPr>
          <w:rFonts w:cstheme="minorHAnsi"/>
        </w:rPr>
        <w:t xml:space="preserve"> (some via in-home collection kits sent by mail</w:t>
      </w:r>
      <w:r w:rsidR="00FF26A5" w:rsidRPr="00616FF4">
        <w:rPr>
          <w:rFonts w:cstheme="minorHAnsi"/>
        </w:rPr>
        <w:t>, which enable whole genome sequenc</w:t>
      </w:r>
      <w:r w:rsidR="007954B6" w:rsidRPr="00616FF4">
        <w:rPr>
          <w:rFonts w:cstheme="minorHAnsi"/>
        </w:rPr>
        <w:t>ing</w:t>
      </w:r>
      <w:r w:rsidR="00FF26A5" w:rsidRPr="00616FF4">
        <w:rPr>
          <w:rFonts w:cstheme="minorHAnsi"/>
        </w:rPr>
        <w:t xml:space="preserve"> and genotyping arrays</w:t>
      </w:r>
      <w:r w:rsidR="007954B6" w:rsidRPr="00616FF4">
        <w:rPr>
          <w:rFonts w:cstheme="minorHAnsi"/>
        </w:rPr>
        <w:t xml:space="preserve"> and pairing of genomic data and phenotypic data</w:t>
      </w:r>
      <w:r w:rsidR="00B20123">
        <w:rPr>
          <w:rFonts w:cstheme="minorHAnsi"/>
        </w:rPr>
        <w:t>—ancestry and trait data are provided back to participants</w:t>
      </w:r>
      <w:r w:rsidR="00456C3B" w:rsidRPr="00616FF4">
        <w:rPr>
          <w:rFonts w:cstheme="minorHAnsi"/>
        </w:rPr>
        <w:t>)</w:t>
      </w:r>
      <w:r w:rsidR="00B821CD" w:rsidRPr="00616FF4">
        <w:rPr>
          <w:rFonts w:cstheme="minorHAnsi"/>
        </w:rPr>
        <w:t xml:space="preserve">; and share data from wearables and digital apps. </w:t>
      </w:r>
      <w:r w:rsidR="00BC2E9E" w:rsidRPr="00616FF4">
        <w:rPr>
          <w:rFonts w:cstheme="minorHAnsi"/>
        </w:rPr>
        <w:t>A pilot program within All of Us aims to establish methods for collecting longitudinal data via wearable sensors and expand wearables access and data sharing for populations underrepresented in biomedical research (UBR).</w:t>
      </w:r>
    </w:p>
    <w:p w14:paraId="1012F333" w14:textId="03EDC77E" w:rsidR="00185116" w:rsidRPr="00616FF4" w:rsidRDefault="00FD177B" w:rsidP="00216E7B">
      <w:pPr>
        <w:pStyle w:val="ListParagraph"/>
        <w:numPr>
          <w:ilvl w:val="0"/>
          <w:numId w:val="14"/>
        </w:numPr>
        <w:spacing w:after="0"/>
        <w:rPr>
          <w:rFonts w:cstheme="minorHAnsi"/>
        </w:rPr>
      </w:pPr>
      <w:r w:rsidRPr="00616FF4">
        <w:rPr>
          <w:rFonts w:cstheme="minorHAnsi"/>
        </w:rPr>
        <w:t>Health</w:t>
      </w:r>
      <w:r w:rsidR="00D8148C">
        <w:rPr>
          <w:rFonts w:cstheme="minorHAnsi"/>
        </w:rPr>
        <w:t xml:space="preserve"> </w:t>
      </w:r>
      <w:r w:rsidRPr="00616FF4">
        <w:rPr>
          <w:rFonts w:cstheme="minorHAnsi"/>
        </w:rPr>
        <w:t xml:space="preserve">care provider organizations and direct volunteers support participant enrollment, and dozens of partners nationwide support data collection and participant engagement. </w:t>
      </w:r>
      <w:r w:rsidR="00185116" w:rsidRPr="00616FF4">
        <w:rPr>
          <w:rFonts w:cstheme="minorHAnsi"/>
        </w:rPr>
        <w:t xml:space="preserve">Since May 2018, </w:t>
      </w:r>
      <w:r w:rsidR="00770149">
        <w:rPr>
          <w:rFonts w:cstheme="minorHAnsi"/>
        </w:rPr>
        <w:t>more than</w:t>
      </w:r>
      <w:r w:rsidRPr="00616FF4">
        <w:rPr>
          <w:rFonts w:cstheme="minorHAnsi"/>
        </w:rPr>
        <w:t xml:space="preserve"> half a million participants </w:t>
      </w:r>
      <w:r w:rsidR="00185116" w:rsidRPr="00616FF4">
        <w:rPr>
          <w:rFonts w:cstheme="minorHAnsi"/>
        </w:rPr>
        <w:t>have</w:t>
      </w:r>
      <w:r w:rsidRPr="00616FF4">
        <w:rPr>
          <w:rFonts w:cstheme="minorHAnsi"/>
        </w:rPr>
        <w:t xml:space="preserve"> enrolled </w:t>
      </w:r>
      <w:r w:rsidR="00185116" w:rsidRPr="00616FF4">
        <w:rPr>
          <w:rFonts w:cstheme="minorHAnsi"/>
        </w:rPr>
        <w:t>(</w:t>
      </w:r>
      <w:r w:rsidRPr="00616FF4">
        <w:rPr>
          <w:rFonts w:cstheme="minorHAnsi"/>
        </w:rPr>
        <w:t>as of June 2022</w:t>
      </w:r>
      <w:r w:rsidR="00185116" w:rsidRPr="00616FF4">
        <w:rPr>
          <w:rFonts w:cstheme="minorHAnsi"/>
        </w:rPr>
        <w:t>)</w:t>
      </w:r>
      <w:r w:rsidRPr="00616FF4">
        <w:rPr>
          <w:rFonts w:cstheme="minorHAnsi"/>
        </w:rPr>
        <w:t>, about 80% of which are</w:t>
      </w:r>
      <w:r w:rsidR="00BC2E9E" w:rsidRPr="00616FF4">
        <w:rPr>
          <w:rFonts w:cstheme="minorHAnsi"/>
        </w:rPr>
        <w:t xml:space="preserve"> UBR</w:t>
      </w:r>
      <w:r w:rsidRPr="00616FF4">
        <w:rPr>
          <w:rFonts w:cstheme="minorHAnsi"/>
        </w:rPr>
        <w:t>.</w:t>
      </w:r>
      <w:r w:rsidR="00185116" w:rsidRPr="00616FF4">
        <w:rPr>
          <w:rFonts w:cstheme="minorHAnsi"/>
        </w:rPr>
        <w:t xml:space="preserve"> The pandemic resulted in a need to expand remote enrollment protocols</w:t>
      </w:r>
      <w:r w:rsidR="00770149">
        <w:rPr>
          <w:rFonts w:cstheme="minorHAnsi"/>
        </w:rPr>
        <w:t xml:space="preserve"> and data collection modalities</w:t>
      </w:r>
      <w:r w:rsidR="00456C3B" w:rsidRPr="00616FF4">
        <w:rPr>
          <w:rFonts w:cstheme="minorHAnsi"/>
        </w:rPr>
        <w:t xml:space="preserve">. </w:t>
      </w:r>
    </w:p>
    <w:p w14:paraId="11151A95" w14:textId="7D03AEA6" w:rsidR="002911B9" w:rsidRPr="00616FF4" w:rsidRDefault="002911B9" w:rsidP="00216E7B">
      <w:pPr>
        <w:pStyle w:val="ListParagraph"/>
        <w:numPr>
          <w:ilvl w:val="0"/>
          <w:numId w:val="14"/>
        </w:numPr>
        <w:spacing w:after="0"/>
        <w:rPr>
          <w:rFonts w:cstheme="minorHAnsi"/>
        </w:rPr>
      </w:pPr>
      <w:r w:rsidRPr="00616FF4">
        <w:rPr>
          <w:rFonts w:cstheme="minorHAnsi"/>
        </w:rPr>
        <w:t>Nearly 20,000 program participants have legacy pediatric EHR data including diagnoses, prescriptions, visits, procedures, and measurements gathered since 1980. An increase in pediatric obesity diagnosis has occurred over time, correlated with BMI measurements recorded in participants’ adult EHRs and physical measurements taken at enrollment in All of Us.</w:t>
      </w:r>
    </w:p>
    <w:p w14:paraId="235B07DE" w14:textId="4A5DCE46" w:rsidR="002911B9" w:rsidRPr="00616FF4" w:rsidRDefault="00FD4C70" w:rsidP="00216E7B">
      <w:pPr>
        <w:pStyle w:val="ListParagraph"/>
        <w:numPr>
          <w:ilvl w:val="0"/>
          <w:numId w:val="14"/>
        </w:numPr>
        <w:spacing w:after="0"/>
        <w:rPr>
          <w:rFonts w:cstheme="minorHAnsi"/>
        </w:rPr>
      </w:pPr>
      <w:r w:rsidRPr="00616FF4">
        <w:rPr>
          <w:rFonts w:cstheme="minorHAnsi"/>
        </w:rPr>
        <w:t xml:space="preserve">At </w:t>
      </w:r>
      <w:r w:rsidR="002122A6">
        <w:rPr>
          <w:rFonts w:cstheme="minorHAnsi"/>
        </w:rPr>
        <w:t xml:space="preserve">the </w:t>
      </w:r>
      <w:hyperlink r:id="rId23" w:history="1">
        <w:r w:rsidR="002122A6" w:rsidRPr="002251F7">
          <w:rPr>
            <w:rStyle w:val="Hyperlink"/>
            <w:rFonts w:cstheme="minorHAnsi"/>
          </w:rPr>
          <w:t>All of Us Research Hub</w:t>
        </w:r>
      </w:hyperlink>
      <w:r w:rsidRPr="00616FF4">
        <w:rPr>
          <w:rFonts w:cstheme="minorHAnsi"/>
        </w:rPr>
        <w:t xml:space="preserve">, researchers can learn about data sources and methodologies and register for de-identified data access. The public can access </w:t>
      </w:r>
      <w:hyperlink r:id="rId24" w:history="1">
        <w:r w:rsidRPr="006F204F">
          <w:rPr>
            <w:rStyle w:val="Hyperlink"/>
            <w:rFonts w:cstheme="minorHAnsi"/>
          </w:rPr>
          <w:t>databrowser.researchallofus.org</w:t>
        </w:r>
      </w:hyperlink>
      <w:r w:rsidRPr="00616FF4">
        <w:rPr>
          <w:rFonts w:cstheme="minorHAnsi"/>
        </w:rPr>
        <w:t xml:space="preserve"> to find summary statistics from the program’s growing database. </w:t>
      </w:r>
    </w:p>
    <w:p w14:paraId="39A74536" w14:textId="6116F1E5" w:rsidR="00F3417A" w:rsidRPr="00616FF4" w:rsidRDefault="00F3417A" w:rsidP="00216E7B">
      <w:pPr>
        <w:spacing w:line="276" w:lineRule="auto"/>
        <w:contextualSpacing/>
        <w:rPr>
          <w:rFonts w:cstheme="minorHAnsi"/>
          <w:i/>
          <w:iCs/>
          <w:sz w:val="22"/>
          <w:szCs w:val="22"/>
        </w:rPr>
      </w:pPr>
    </w:p>
    <w:p w14:paraId="5302D81C" w14:textId="6CD3475F" w:rsidR="00A53153" w:rsidRPr="00616FF4" w:rsidRDefault="00A53153" w:rsidP="00216E7B">
      <w:pPr>
        <w:spacing w:line="276" w:lineRule="auto"/>
        <w:contextualSpacing/>
        <w:rPr>
          <w:rFonts w:cstheme="minorHAnsi"/>
          <w:i/>
          <w:iCs/>
          <w:sz w:val="22"/>
          <w:szCs w:val="22"/>
        </w:rPr>
      </w:pPr>
      <w:r w:rsidRPr="00616FF4">
        <w:rPr>
          <w:rFonts w:eastAsia="Candara" w:cstheme="minorHAnsi"/>
          <w:i/>
          <w:iCs/>
          <w:sz w:val="22"/>
          <w:szCs w:val="22"/>
        </w:rPr>
        <w:t xml:space="preserve">George </w:t>
      </w:r>
      <w:proofErr w:type="spellStart"/>
      <w:r w:rsidRPr="00616FF4">
        <w:rPr>
          <w:rFonts w:eastAsia="Candara" w:cstheme="minorHAnsi"/>
          <w:i/>
          <w:iCs/>
          <w:sz w:val="22"/>
          <w:szCs w:val="22"/>
        </w:rPr>
        <w:t>Hobor</w:t>
      </w:r>
      <w:proofErr w:type="spellEnd"/>
      <w:r w:rsidRPr="00616FF4">
        <w:rPr>
          <w:rFonts w:eastAsia="Candara" w:cstheme="minorHAnsi"/>
          <w:i/>
          <w:iCs/>
          <w:sz w:val="22"/>
          <w:szCs w:val="22"/>
        </w:rPr>
        <w:t xml:space="preserve">, PhD, Robert Wood Johnson Foundation </w:t>
      </w:r>
    </w:p>
    <w:p w14:paraId="5A465D42" w14:textId="5525C97B" w:rsidR="00F565C9" w:rsidRDefault="00CC1DDB" w:rsidP="00216E7B">
      <w:pPr>
        <w:spacing w:line="276" w:lineRule="auto"/>
        <w:contextualSpacing/>
        <w:rPr>
          <w:rFonts w:cstheme="minorHAnsi"/>
          <w:sz w:val="22"/>
          <w:szCs w:val="22"/>
        </w:rPr>
      </w:pPr>
      <w:r w:rsidRPr="00616FF4">
        <w:rPr>
          <w:rFonts w:cstheme="minorHAnsi"/>
          <w:sz w:val="22"/>
          <w:szCs w:val="22"/>
        </w:rPr>
        <w:t xml:space="preserve">G. </w:t>
      </w:r>
      <w:proofErr w:type="spellStart"/>
      <w:r w:rsidRPr="00616FF4">
        <w:rPr>
          <w:rFonts w:cstheme="minorHAnsi"/>
          <w:sz w:val="22"/>
          <w:szCs w:val="22"/>
        </w:rPr>
        <w:t>Hobor</w:t>
      </w:r>
      <w:proofErr w:type="spellEnd"/>
      <w:r w:rsidRPr="00616FF4">
        <w:rPr>
          <w:rFonts w:cstheme="minorHAnsi"/>
          <w:sz w:val="22"/>
          <w:szCs w:val="22"/>
        </w:rPr>
        <w:t xml:space="preserve"> </w:t>
      </w:r>
      <w:r w:rsidR="0093505E" w:rsidRPr="00616FF4">
        <w:rPr>
          <w:rFonts w:cstheme="minorHAnsi"/>
          <w:sz w:val="22"/>
          <w:szCs w:val="22"/>
        </w:rPr>
        <w:t>described RWJF’s strategies and goals for</w:t>
      </w:r>
      <w:r w:rsidRPr="00616FF4">
        <w:rPr>
          <w:rFonts w:cstheme="minorHAnsi"/>
          <w:sz w:val="22"/>
          <w:szCs w:val="22"/>
        </w:rPr>
        <w:t xml:space="preserve"> data availability and analysis</w:t>
      </w:r>
      <w:r w:rsidR="0093505E" w:rsidRPr="00616FF4">
        <w:rPr>
          <w:rFonts w:cstheme="minorHAnsi"/>
          <w:sz w:val="22"/>
          <w:szCs w:val="22"/>
        </w:rPr>
        <w:t xml:space="preserve"> and shared examples of </w:t>
      </w:r>
      <w:r w:rsidR="00D84BB3" w:rsidRPr="00616FF4">
        <w:rPr>
          <w:rFonts w:cstheme="minorHAnsi"/>
          <w:sz w:val="22"/>
          <w:szCs w:val="22"/>
        </w:rPr>
        <w:t xml:space="preserve">programming for each. </w:t>
      </w:r>
    </w:p>
    <w:p w14:paraId="25AF62A8" w14:textId="77777777" w:rsidR="00B076FF" w:rsidRPr="00B076FF" w:rsidRDefault="00B076FF" w:rsidP="00216E7B">
      <w:pPr>
        <w:spacing w:line="276" w:lineRule="auto"/>
        <w:contextualSpacing/>
        <w:rPr>
          <w:rFonts w:cstheme="minorHAnsi"/>
          <w:sz w:val="16"/>
          <w:szCs w:val="16"/>
        </w:rPr>
      </w:pPr>
    </w:p>
    <w:p w14:paraId="57A6DB7A" w14:textId="77E7F9BD" w:rsidR="00F565C9" w:rsidRPr="00616FF4" w:rsidRDefault="00D84BB3" w:rsidP="00216E7B">
      <w:pPr>
        <w:pStyle w:val="ListParagraph"/>
        <w:numPr>
          <w:ilvl w:val="0"/>
          <w:numId w:val="15"/>
        </w:numPr>
        <w:spacing w:after="0"/>
        <w:rPr>
          <w:rFonts w:cstheme="minorHAnsi"/>
        </w:rPr>
      </w:pPr>
      <w:r w:rsidRPr="00616FF4">
        <w:rPr>
          <w:rFonts w:cstheme="minorHAnsi"/>
        </w:rPr>
        <w:lastRenderedPageBreak/>
        <w:t>Data</w:t>
      </w:r>
      <w:r w:rsidR="00CC1DDB" w:rsidRPr="00616FF4">
        <w:rPr>
          <w:rFonts w:cstheme="minorHAnsi"/>
        </w:rPr>
        <w:t xml:space="preserve"> raises awareness about local issues and generates demand for solutions</w:t>
      </w:r>
      <w:r w:rsidRPr="00616FF4">
        <w:rPr>
          <w:rFonts w:cstheme="minorHAnsi"/>
        </w:rPr>
        <w:t xml:space="preserve">, such as through the Foundation’s </w:t>
      </w:r>
      <w:hyperlink r:id="rId25" w:history="1">
        <w:r w:rsidRPr="003C0DEB">
          <w:rPr>
            <w:rStyle w:val="Hyperlink"/>
            <w:rFonts w:cstheme="minorHAnsi"/>
          </w:rPr>
          <w:t>County Health Rankings</w:t>
        </w:r>
      </w:hyperlink>
      <w:r w:rsidRPr="00616FF4">
        <w:rPr>
          <w:rFonts w:cstheme="minorHAnsi"/>
        </w:rPr>
        <w:t xml:space="preserve"> program that ranks counties based on a series of health outcomes and health behaviors.</w:t>
      </w:r>
      <w:r w:rsidR="005C51A7" w:rsidRPr="00616FF4">
        <w:rPr>
          <w:rFonts w:cstheme="minorHAnsi"/>
        </w:rPr>
        <w:t xml:space="preserve"> </w:t>
      </w:r>
    </w:p>
    <w:p w14:paraId="5429772A" w14:textId="13B90DE5" w:rsidR="002E5077" w:rsidRPr="00616FF4" w:rsidRDefault="005C51A7" w:rsidP="00216E7B">
      <w:pPr>
        <w:pStyle w:val="ListParagraph"/>
        <w:numPr>
          <w:ilvl w:val="0"/>
          <w:numId w:val="15"/>
        </w:numPr>
        <w:spacing w:after="0"/>
        <w:rPr>
          <w:rFonts w:cstheme="minorHAnsi"/>
        </w:rPr>
      </w:pPr>
      <w:r w:rsidRPr="00616FF4">
        <w:rPr>
          <w:rFonts w:cstheme="minorHAnsi"/>
        </w:rPr>
        <w:t>Data</w:t>
      </w:r>
      <w:r w:rsidR="00CC1DDB" w:rsidRPr="00616FF4">
        <w:rPr>
          <w:rFonts w:cstheme="minorHAnsi"/>
        </w:rPr>
        <w:t xml:space="preserve"> enables informed decision-making that increases </w:t>
      </w:r>
      <w:r w:rsidRPr="00616FF4">
        <w:rPr>
          <w:rFonts w:cstheme="minorHAnsi"/>
        </w:rPr>
        <w:t>the</w:t>
      </w:r>
      <w:r w:rsidR="00CC1DDB" w:rsidRPr="00616FF4">
        <w:rPr>
          <w:rFonts w:cstheme="minorHAnsi"/>
        </w:rPr>
        <w:t xml:space="preserve"> analytic foundation and effectiveness of nonprofit and public sector action</w:t>
      </w:r>
      <w:r w:rsidRPr="00616FF4">
        <w:rPr>
          <w:rFonts w:cstheme="minorHAnsi"/>
        </w:rPr>
        <w:t xml:space="preserve">. RWJF’s </w:t>
      </w:r>
      <w:hyperlink r:id="rId26" w:history="1">
        <w:r w:rsidRPr="003C0DEB">
          <w:rPr>
            <w:rStyle w:val="Hyperlink"/>
            <w:rFonts w:cstheme="minorHAnsi"/>
          </w:rPr>
          <w:t>Data Across Sectors for Health</w:t>
        </w:r>
      </w:hyperlink>
      <w:r w:rsidRPr="00616FF4">
        <w:rPr>
          <w:rFonts w:cstheme="minorHAnsi"/>
        </w:rPr>
        <w:t xml:space="preserve"> program and </w:t>
      </w:r>
      <w:hyperlink r:id="rId27" w:history="1">
        <w:r w:rsidRPr="007B498C">
          <w:rPr>
            <w:rStyle w:val="Hyperlink"/>
            <w:rFonts w:cstheme="minorHAnsi"/>
          </w:rPr>
          <w:t>All In</w:t>
        </w:r>
      </w:hyperlink>
      <w:r w:rsidRPr="00616FF4">
        <w:rPr>
          <w:rFonts w:cstheme="minorHAnsi"/>
        </w:rPr>
        <w:t xml:space="preserve"> program </w:t>
      </w:r>
      <w:r w:rsidR="00E57A97">
        <w:rPr>
          <w:rFonts w:cstheme="minorHAnsi"/>
        </w:rPr>
        <w:t xml:space="preserve">facilitate data sharing and </w:t>
      </w:r>
      <w:r w:rsidR="00806502">
        <w:rPr>
          <w:rFonts w:cstheme="minorHAnsi"/>
        </w:rPr>
        <w:t xml:space="preserve">help drive decision-making about programs and interventions. </w:t>
      </w:r>
    </w:p>
    <w:p w14:paraId="3794A58C" w14:textId="1EA4719C" w:rsidR="005C51A7" w:rsidRPr="00616FF4" w:rsidRDefault="002E5077" w:rsidP="00216E7B">
      <w:pPr>
        <w:pStyle w:val="ListParagraph"/>
        <w:numPr>
          <w:ilvl w:val="0"/>
          <w:numId w:val="15"/>
        </w:numPr>
        <w:spacing w:after="0"/>
        <w:rPr>
          <w:rFonts w:cstheme="minorHAnsi"/>
        </w:rPr>
      </w:pPr>
      <w:r w:rsidRPr="00616FF4">
        <w:rPr>
          <w:rFonts w:cstheme="minorHAnsi"/>
        </w:rPr>
        <w:t>Data supports research and evaluation. RWJF’s</w:t>
      </w:r>
      <w:r w:rsidR="00625B90" w:rsidRPr="00616FF4">
        <w:rPr>
          <w:rFonts w:cstheme="minorHAnsi"/>
        </w:rPr>
        <w:t xml:space="preserve"> </w:t>
      </w:r>
      <w:hyperlink r:id="rId28" w:history="1">
        <w:r w:rsidR="00625B90" w:rsidRPr="003C0DEB">
          <w:rPr>
            <w:rStyle w:val="Hyperlink"/>
            <w:rFonts w:cstheme="minorHAnsi"/>
          </w:rPr>
          <w:t>Health Data for Action</w:t>
        </w:r>
      </w:hyperlink>
      <w:r w:rsidR="00625B90" w:rsidRPr="00616FF4">
        <w:rPr>
          <w:rFonts w:cstheme="minorHAnsi"/>
        </w:rPr>
        <w:t xml:space="preserve"> program equips researchers with data to help them better answer important questions.</w:t>
      </w:r>
      <w:r w:rsidR="006847D0" w:rsidRPr="00616FF4">
        <w:rPr>
          <w:rFonts w:cstheme="minorHAnsi"/>
        </w:rPr>
        <w:t xml:space="preserve"> A new initiative </w:t>
      </w:r>
      <w:r w:rsidR="00E57A97">
        <w:rPr>
          <w:rFonts w:cstheme="minorHAnsi"/>
        </w:rPr>
        <w:t>provided recommendations to t</w:t>
      </w:r>
      <w:r w:rsidR="006847D0" w:rsidRPr="00616FF4">
        <w:rPr>
          <w:rFonts w:cstheme="minorHAnsi"/>
        </w:rPr>
        <w:t>ransform</w:t>
      </w:r>
      <w:r w:rsidR="00E57A97">
        <w:rPr>
          <w:rFonts w:cstheme="minorHAnsi"/>
        </w:rPr>
        <w:t xml:space="preserve"> p</w:t>
      </w:r>
      <w:r w:rsidR="006847D0" w:rsidRPr="00616FF4">
        <w:rPr>
          <w:rFonts w:cstheme="minorHAnsi"/>
        </w:rPr>
        <w:t xml:space="preserve">ublic </w:t>
      </w:r>
      <w:r w:rsidR="00E57A97">
        <w:rPr>
          <w:rFonts w:cstheme="minorHAnsi"/>
        </w:rPr>
        <w:t>h</w:t>
      </w:r>
      <w:r w:rsidR="006847D0" w:rsidRPr="00616FF4">
        <w:rPr>
          <w:rFonts w:cstheme="minorHAnsi"/>
        </w:rPr>
        <w:t xml:space="preserve">ealth </w:t>
      </w:r>
      <w:r w:rsidR="00E57A97">
        <w:rPr>
          <w:rFonts w:cstheme="minorHAnsi"/>
        </w:rPr>
        <w:t>d</w:t>
      </w:r>
      <w:r w:rsidR="006847D0" w:rsidRPr="00616FF4">
        <w:rPr>
          <w:rFonts w:cstheme="minorHAnsi"/>
        </w:rPr>
        <w:t xml:space="preserve">ata </w:t>
      </w:r>
      <w:r w:rsidR="00E57A97">
        <w:rPr>
          <w:rFonts w:cstheme="minorHAnsi"/>
        </w:rPr>
        <w:t>s</w:t>
      </w:r>
      <w:r w:rsidR="006847D0" w:rsidRPr="00616FF4">
        <w:rPr>
          <w:rFonts w:cstheme="minorHAnsi"/>
        </w:rPr>
        <w:t>ystems</w:t>
      </w:r>
      <w:r w:rsidR="00E57A97">
        <w:rPr>
          <w:rFonts w:cstheme="minorHAnsi"/>
        </w:rPr>
        <w:t xml:space="preserve"> to address shortcomings that were revealed in current surveillance and response systems during the pandemic. </w:t>
      </w:r>
      <w:r w:rsidR="00B419D9" w:rsidRPr="00616FF4">
        <w:rPr>
          <w:rFonts w:cstheme="minorHAnsi"/>
        </w:rPr>
        <w:t xml:space="preserve"> </w:t>
      </w:r>
    </w:p>
    <w:p w14:paraId="7B8368B7" w14:textId="44A7EBBB" w:rsidR="002E5077" w:rsidRPr="00616FF4" w:rsidRDefault="002E5077" w:rsidP="00216E7B">
      <w:pPr>
        <w:pStyle w:val="ListParagraph"/>
        <w:numPr>
          <w:ilvl w:val="0"/>
          <w:numId w:val="15"/>
        </w:numPr>
        <w:spacing w:after="0"/>
        <w:rPr>
          <w:rFonts w:cstheme="minorHAnsi"/>
        </w:rPr>
      </w:pPr>
      <w:r w:rsidRPr="00616FF4">
        <w:rPr>
          <w:rFonts w:cstheme="minorHAnsi"/>
        </w:rPr>
        <w:t>Integrated data systems are characterized by linkage of data at the individual level, collection of data in a systematic and consistent way, and an intersection of partners sharing data across domains (education, workforce, social services, health, housing). Several examples of integrated data systems exist in various states</w:t>
      </w:r>
      <w:r w:rsidR="00F15660">
        <w:rPr>
          <w:rFonts w:cstheme="minorHAnsi"/>
        </w:rPr>
        <w:t xml:space="preserve"> across the country. </w:t>
      </w:r>
    </w:p>
    <w:p w14:paraId="69EA74DD" w14:textId="46B433EB" w:rsidR="000D1C53" w:rsidRPr="00616FF4" w:rsidRDefault="00CC1DDB" w:rsidP="00216E7B">
      <w:pPr>
        <w:pStyle w:val="ListParagraph"/>
        <w:numPr>
          <w:ilvl w:val="0"/>
          <w:numId w:val="15"/>
        </w:numPr>
        <w:spacing w:after="0"/>
        <w:rPr>
          <w:rFonts w:cstheme="minorHAnsi"/>
        </w:rPr>
      </w:pPr>
      <w:r w:rsidRPr="00616FF4">
        <w:rPr>
          <w:rFonts w:cstheme="minorHAnsi"/>
        </w:rPr>
        <w:t>Themes informing future data programming</w:t>
      </w:r>
      <w:r w:rsidR="002E5077" w:rsidRPr="00616FF4">
        <w:rPr>
          <w:rFonts w:cstheme="minorHAnsi"/>
        </w:rPr>
        <w:t xml:space="preserve"> include the need to collect the right data (e.g., racial categories</w:t>
      </w:r>
      <w:r w:rsidR="00413E0C">
        <w:rPr>
          <w:rFonts w:cstheme="minorHAnsi"/>
        </w:rPr>
        <w:t>;</w:t>
      </w:r>
      <w:r w:rsidR="002E5077" w:rsidRPr="00616FF4">
        <w:rPr>
          <w:rFonts w:cstheme="minorHAnsi"/>
        </w:rPr>
        <w:t xml:space="preserve"> disaggregated data</w:t>
      </w:r>
      <w:r w:rsidR="00CD7616">
        <w:rPr>
          <w:rFonts w:cstheme="minorHAnsi"/>
        </w:rPr>
        <w:t xml:space="preserve"> and metrics of racism</w:t>
      </w:r>
      <w:r w:rsidR="0093486B">
        <w:rPr>
          <w:rFonts w:cstheme="minorHAnsi"/>
        </w:rPr>
        <w:t xml:space="preserve"> and</w:t>
      </w:r>
      <w:r w:rsidR="002E5077" w:rsidRPr="00616FF4">
        <w:rPr>
          <w:rFonts w:cstheme="minorHAnsi"/>
        </w:rPr>
        <w:t xml:space="preserve"> intersectionality</w:t>
      </w:r>
      <w:r w:rsidR="0093486B">
        <w:rPr>
          <w:rFonts w:cstheme="minorHAnsi"/>
        </w:rPr>
        <w:t>;</w:t>
      </w:r>
      <w:r w:rsidR="000D1C53" w:rsidRPr="00616FF4">
        <w:rPr>
          <w:rFonts w:cstheme="minorHAnsi"/>
        </w:rPr>
        <w:t xml:space="preserve"> and collecting priority metrics for </w:t>
      </w:r>
      <w:proofErr w:type="gramStart"/>
      <w:r w:rsidR="000D1C53" w:rsidRPr="00616FF4">
        <w:rPr>
          <w:rFonts w:cstheme="minorHAnsi"/>
        </w:rPr>
        <w:t xml:space="preserve">community </w:t>
      </w:r>
      <w:r w:rsidR="00CC4504">
        <w:rPr>
          <w:rFonts w:cstheme="minorHAnsi"/>
        </w:rPr>
        <w:t>based</w:t>
      </w:r>
      <w:proofErr w:type="gramEnd"/>
      <w:r w:rsidR="00CC4504">
        <w:rPr>
          <w:rFonts w:cstheme="minorHAnsi"/>
        </w:rPr>
        <w:t xml:space="preserve"> organization’</w:t>
      </w:r>
      <w:r w:rsidR="000D1C53" w:rsidRPr="00616FF4">
        <w:rPr>
          <w:rFonts w:cstheme="minorHAnsi"/>
        </w:rPr>
        <w:t xml:space="preserve">s and community partners). Data sharing remains a challenge, due to outdated technology, incomplete implementation of standards, and lack of clarity about data privacy laws. Progress is slow and research findings are not usually available in a timely manner relative to researcher and practitioner </w:t>
      </w:r>
      <w:r w:rsidR="00EE4922" w:rsidRPr="00616FF4">
        <w:rPr>
          <w:rFonts w:cstheme="minorHAnsi"/>
        </w:rPr>
        <w:t>needs</w:t>
      </w:r>
      <w:r w:rsidR="00EE4922">
        <w:rPr>
          <w:rFonts w:cstheme="minorHAnsi"/>
        </w:rPr>
        <w:t xml:space="preserve"> but</w:t>
      </w:r>
      <w:r w:rsidR="004F05EA">
        <w:rPr>
          <w:rFonts w:cstheme="minorHAnsi"/>
        </w:rPr>
        <w:t xml:space="preserve"> building workforce capacity could help.</w:t>
      </w:r>
    </w:p>
    <w:p w14:paraId="0C6CE4B5" w14:textId="77777777" w:rsidR="00D6076C" w:rsidRPr="00616FF4" w:rsidRDefault="00D6076C" w:rsidP="00216E7B">
      <w:pPr>
        <w:spacing w:line="276" w:lineRule="auto"/>
        <w:rPr>
          <w:rFonts w:eastAsia="Candara" w:cstheme="minorHAnsi"/>
          <w:i/>
          <w:iCs/>
          <w:sz w:val="22"/>
          <w:szCs w:val="22"/>
        </w:rPr>
      </w:pPr>
    </w:p>
    <w:p w14:paraId="2F2998FE" w14:textId="367A49C5" w:rsidR="00A53153" w:rsidRPr="00616FF4" w:rsidRDefault="00A53153" w:rsidP="00216E7B">
      <w:pPr>
        <w:spacing w:line="276" w:lineRule="auto"/>
        <w:rPr>
          <w:rFonts w:cstheme="minorHAnsi"/>
          <w:sz w:val="22"/>
          <w:szCs w:val="22"/>
        </w:rPr>
      </w:pPr>
      <w:r w:rsidRPr="00616FF4">
        <w:rPr>
          <w:rFonts w:eastAsia="Candara" w:cstheme="minorHAnsi"/>
          <w:i/>
          <w:iCs/>
          <w:sz w:val="22"/>
          <w:szCs w:val="22"/>
        </w:rPr>
        <w:t xml:space="preserve">Melanie </w:t>
      </w:r>
      <w:proofErr w:type="spellStart"/>
      <w:r w:rsidRPr="00616FF4">
        <w:rPr>
          <w:rFonts w:eastAsia="Candara" w:cstheme="minorHAnsi"/>
          <w:i/>
          <w:iCs/>
          <w:sz w:val="22"/>
          <w:szCs w:val="22"/>
        </w:rPr>
        <w:t>Abley</w:t>
      </w:r>
      <w:proofErr w:type="spellEnd"/>
      <w:r w:rsidRPr="00616FF4">
        <w:rPr>
          <w:rFonts w:eastAsia="Candara" w:cstheme="minorHAnsi"/>
          <w:i/>
          <w:iCs/>
          <w:sz w:val="22"/>
          <w:szCs w:val="22"/>
        </w:rPr>
        <w:t>, PhD, United States Department of Agriculture</w:t>
      </w:r>
    </w:p>
    <w:p w14:paraId="7E992B6A" w14:textId="28C83D62" w:rsidR="00C8400A" w:rsidRDefault="004B15B5" w:rsidP="00216E7B">
      <w:pPr>
        <w:spacing w:line="276" w:lineRule="auto"/>
        <w:contextualSpacing/>
        <w:rPr>
          <w:rFonts w:cstheme="minorHAnsi"/>
          <w:sz w:val="22"/>
          <w:szCs w:val="22"/>
        </w:rPr>
      </w:pPr>
      <w:r w:rsidRPr="00616FF4">
        <w:rPr>
          <w:rFonts w:cstheme="minorHAnsi"/>
          <w:sz w:val="22"/>
          <w:szCs w:val="22"/>
        </w:rPr>
        <w:t xml:space="preserve">M. </w:t>
      </w:r>
      <w:proofErr w:type="spellStart"/>
      <w:r w:rsidRPr="00616FF4">
        <w:rPr>
          <w:rFonts w:cstheme="minorHAnsi"/>
          <w:sz w:val="22"/>
          <w:szCs w:val="22"/>
        </w:rPr>
        <w:t>Abley</w:t>
      </w:r>
      <w:proofErr w:type="spellEnd"/>
      <w:r w:rsidRPr="00616FF4">
        <w:rPr>
          <w:rFonts w:cstheme="minorHAnsi"/>
          <w:sz w:val="22"/>
          <w:szCs w:val="22"/>
        </w:rPr>
        <w:t xml:space="preserve"> shared examples of USDA’s data modernization efforts overall and in</w:t>
      </w:r>
      <w:r w:rsidR="004254B6" w:rsidRPr="00616FF4">
        <w:rPr>
          <w:rFonts w:cstheme="minorHAnsi"/>
          <w:sz w:val="22"/>
          <w:szCs w:val="22"/>
        </w:rPr>
        <w:t xml:space="preserve"> </w:t>
      </w:r>
      <w:r w:rsidR="001E316B">
        <w:rPr>
          <w:rFonts w:cstheme="minorHAnsi"/>
          <w:sz w:val="22"/>
          <w:szCs w:val="22"/>
        </w:rPr>
        <w:t>its</w:t>
      </w:r>
      <w:r w:rsidR="004254B6" w:rsidRPr="00616FF4">
        <w:rPr>
          <w:rFonts w:cstheme="minorHAnsi"/>
          <w:sz w:val="22"/>
          <w:szCs w:val="22"/>
        </w:rPr>
        <w:t xml:space="preserve"> Food and Nutrition Service (FNS), Economic Research Service (ERS), and National Institute of Food and Agriculture (NIFA).</w:t>
      </w:r>
      <w:r w:rsidRPr="00616FF4">
        <w:rPr>
          <w:rFonts w:cstheme="minorHAnsi"/>
          <w:sz w:val="22"/>
          <w:szCs w:val="22"/>
        </w:rPr>
        <w:t xml:space="preserve"> </w:t>
      </w:r>
    </w:p>
    <w:p w14:paraId="6A9FDB42" w14:textId="77777777" w:rsidR="00B24476" w:rsidRPr="00616FF4" w:rsidRDefault="00B24476" w:rsidP="00216E7B">
      <w:pPr>
        <w:spacing w:line="276" w:lineRule="auto"/>
        <w:contextualSpacing/>
        <w:rPr>
          <w:rFonts w:cstheme="minorHAnsi"/>
          <w:sz w:val="22"/>
          <w:szCs w:val="22"/>
        </w:rPr>
      </w:pPr>
    </w:p>
    <w:p w14:paraId="74D145AC" w14:textId="034EC5B9" w:rsidR="004B15B5" w:rsidRPr="00616FF4" w:rsidRDefault="000E3E27" w:rsidP="00216E7B">
      <w:pPr>
        <w:pStyle w:val="ListParagraph"/>
        <w:numPr>
          <w:ilvl w:val="0"/>
          <w:numId w:val="16"/>
        </w:numPr>
        <w:spacing w:after="0"/>
        <w:contextualSpacing w:val="0"/>
        <w:rPr>
          <w:rFonts w:cstheme="minorHAnsi"/>
        </w:rPr>
      </w:pPr>
      <w:r w:rsidRPr="00616FF4">
        <w:rPr>
          <w:rFonts w:cstheme="minorHAnsi"/>
        </w:rPr>
        <w:t>Data modernization supports USDA’s data strategy and promotes scientific integrity (</w:t>
      </w:r>
      <w:r w:rsidR="00844246">
        <w:rPr>
          <w:rFonts w:cstheme="minorHAnsi"/>
        </w:rPr>
        <w:t xml:space="preserve">e.g., </w:t>
      </w:r>
      <w:r w:rsidRPr="00616FF4">
        <w:rPr>
          <w:rFonts w:cstheme="minorHAnsi"/>
        </w:rPr>
        <w:t xml:space="preserve">fostering trust and open science). </w:t>
      </w:r>
      <w:r w:rsidR="00CB6471" w:rsidRPr="00616FF4">
        <w:rPr>
          <w:rFonts w:cstheme="minorHAnsi"/>
        </w:rPr>
        <w:t xml:space="preserve">USDA’s changing data culture is marked by increasing staff data skills for stewardship and analytics, support for increased use of artificial intelligence </w:t>
      </w:r>
      <w:r w:rsidR="00844246">
        <w:rPr>
          <w:rFonts w:cstheme="minorHAnsi"/>
        </w:rPr>
        <w:t>(with safeguards)</w:t>
      </w:r>
      <w:r w:rsidR="00CB6471" w:rsidRPr="00616FF4">
        <w:rPr>
          <w:rFonts w:cstheme="minorHAnsi"/>
        </w:rPr>
        <w:t xml:space="preserve">, development of </w:t>
      </w:r>
      <w:r w:rsidR="00844246">
        <w:rPr>
          <w:rFonts w:cstheme="minorHAnsi"/>
        </w:rPr>
        <w:t>data stewardship (standards, q</w:t>
      </w:r>
      <w:r w:rsidR="00CB6471" w:rsidRPr="00616FF4">
        <w:rPr>
          <w:rFonts w:cstheme="minorHAnsi"/>
        </w:rPr>
        <w:t>uality metrics, and</w:t>
      </w:r>
      <w:r w:rsidR="00844246">
        <w:rPr>
          <w:rFonts w:cstheme="minorHAnsi"/>
        </w:rPr>
        <w:t xml:space="preserve"> </w:t>
      </w:r>
      <w:r w:rsidR="00CB6471" w:rsidRPr="00616FF4">
        <w:rPr>
          <w:rFonts w:cstheme="minorHAnsi"/>
        </w:rPr>
        <w:t>documentation</w:t>
      </w:r>
      <w:r w:rsidR="00844246">
        <w:rPr>
          <w:rFonts w:cstheme="minorHAnsi"/>
        </w:rPr>
        <w:t>)</w:t>
      </w:r>
      <w:r w:rsidR="00CB6471" w:rsidRPr="00616FF4">
        <w:rPr>
          <w:rFonts w:cstheme="minorHAnsi"/>
        </w:rPr>
        <w:t>, and increase in data sharing and interoperability among USDA and stakeholders.</w:t>
      </w:r>
    </w:p>
    <w:p w14:paraId="4BFD3C26" w14:textId="54AD6D9F" w:rsidR="00FC71F7" w:rsidRPr="00616FF4" w:rsidRDefault="004254B6" w:rsidP="00216E7B">
      <w:pPr>
        <w:pStyle w:val="ListParagraph"/>
        <w:numPr>
          <w:ilvl w:val="0"/>
          <w:numId w:val="16"/>
        </w:numPr>
        <w:spacing w:after="0"/>
        <w:contextualSpacing w:val="0"/>
        <w:rPr>
          <w:rFonts w:cstheme="minorHAnsi"/>
        </w:rPr>
      </w:pPr>
      <w:r w:rsidRPr="00616FF4">
        <w:rPr>
          <w:rFonts w:cstheme="minorHAnsi"/>
        </w:rPr>
        <w:t>At the department level, USDA has created a shared enterprise data analytics platform and tool</w:t>
      </w:r>
      <w:r w:rsidR="001F229C">
        <w:rPr>
          <w:rFonts w:cstheme="minorHAnsi"/>
        </w:rPr>
        <w:t>ki</w:t>
      </w:r>
      <w:r w:rsidRPr="00616FF4">
        <w:rPr>
          <w:rFonts w:cstheme="minorHAnsi"/>
        </w:rPr>
        <w:t xml:space="preserve">t infrastructure. </w:t>
      </w:r>
      <w:r w:rsidR="001F229C">
        <w:rPr>
          <w:rFonts w:cstheme="minorHAnsi"/>
        </w:rPr>
        <w:t xml:space="preserve">Priorities within </w:t>
      </w:r>
      <w:r w:rsidR="001F229C" w:rsidRPr="001F229C">
        <w:rPr>
          <w:rFonts w:cstheme="minorHAnsi"/>
        </w:rPr>
        <w:t>this infrastructure are to establish a single, common data warehouse</w:t>
      </w:r>
      <w:r w:rsidR="002F1DFF">
        <w:rPr>
          <w:rFonts w:cstheme="minorHAnsi"/>
        </w:rPr>
        <w:t>;</w:t>
      </w:r>
      <w:r w:rsidR="001F229C" w:rsidRPr="001F229C">
        <w:rPr>
          <w:rFonts w:cstheme="minorHAnsi"/>
        </w:rPr>
        <w:t xml:space="preserve"> enable standard toolsets for data ingestion and visualization and data science</w:t>
      </w:r>
      <w:r w:rsidR="002F1DFF">
        <w:rPr>
          <w:rFonts w:cstheme="minorHAnsi"/>
        </w:rPr>
        <w:t>;</w:t>
      </w:r>
      <w:r w:rsidR="001F229C" w:rsidRPr="001F229C">
        <w:rPr>
          <w:rFonts w:cstheme="minorHAnsi"/>
        </w:rPr>
        <w:t xml:space="preserve"> launch </w:t>
      </w:r>
      <w:r w:rsidR="002F1DFF">
        <w:rPr>
          <w:rFonts w:cstheme="minorHAnsi"/>
        </w:rPr>
        <w:t xml:space="preserve">a </w:t>
      </w:r>
      <w:r w:rsidR="001F229C" w:rsidRPr="001F229C">
        <w:rPr>
          <w:rFonts w:cstheme="minorHAnsi"/>
        </w:rPr>
        <w:t>common data cataloguing tool</w:t>
      </w:r>
      <w:r w:rsidR="002F1DFF">
        <w:rPr>
          <w:rFonts w:cstheme="minorHAnsi"/>
        </w:rPr>
        <w:t>;</w:t>
      </w:r>
      <w:r w:rsidR="001F229C" w:rsidRPr="001F229C">
        <w:rPr>
          <w:rFonts w:cstheme="minorHAnsi"/>
        </w:rPr>
        <w:t xml:space="preserve"> and expand a single, common open data platform. Achieving these priorities will help bring together data from disparate toolsets, provide transparency in</w:t>
      </w:r>
      <w:r w:rsidR="002F1DFF">
        <w:rPr>
          <w:rFonts w:cstheme="minorHAnsi"/>
        </w:rPr>
        <w:t>t</w:t>
      </w:r>
      <w:r w:rsidR="001F229C" w:rsidRPr="001F229C">
        <w:rPr>
          <w:rFonts w:cstheme="minorHAnsi"/>
        </w:rPr>
        <w:t>o the full suite of data available at USDA, and make these data publicly available.</w:t>
      </w:r>
      <w:r w:rsidR="007A26B6">
        <w:rPr>
          <w:rFonts w:cstheme="minorHAnsi"/>
        </w:rPr>
        <w:t xml:space="preserve"> Examples of integrated data systems </w:t>
      </w:r>
      <w:r w:rsidR="002B1452">
        <w:rPr>
          <w:rFonts w:cstheme="minorHAnsi"/>
        </w:rPr>
        <w:t xml:space="preserve">across USDA </w:t>
      </w:r>
      <w:r w:rsidR="007A26B6">
        <w:rPr>
          <w:rFonts w:cstheme="minorHAnsi"/>
        </w:rPr>
        <w:t xml:space="preserve">include </w:t>
      </w:r>
      <w:hyperlink r:id="rId29" w:history="1">
        <w:proofErr w:type="spellStart"/>
        <w:r w:rsidR="007A26B6" w:rsidRPr="003C0DEB">
          <w:rPr>
            <w:rStyle w:val="Hyperlink"/>
            <w:rFonts w:cstheme="minorHAnsi"/>
          </w:rPr>
          <w:t>FoodData</w:t>
        </w:r>
        <w:proofErr w:type="spellEnd"/>
        <w:r w:rsidR="007A26B6" w:rsidRPr="003C0DEB">
          <w:rPr>
            <w:rStyle w:val="Hyperlink"/>
            <w:rFonts w:cstheme="minorHAnsi"/>
          </w:rPr>
          <w:t xml:space="preserve"> Central</w:t>
        </w:r>
      </w:hyperlink>
      <w:r w:rsidR="007A26B6">
        <w:rPr>
          <w:rFonts w:cstheme="minorHAnsi"/>
        </w:rPr>
        <w:t xml:space="preserve">, </w:t>
      </w:r>
      <w:hyperlink r:id="rId30" w:history="1">
        <w:r w:rsidR="007A26B6" w:rsidRPr="003C0DEB">
          <w:rPr>
            <w:rStyle w:val="Hyperlink"/>
            <w:rFonts w:cstheme="minorHAnsi"/>
          </w:rPr>
          <w:t>Ag Data Commons</w:t>
        </w:r>
      </w:hyperlink>
      <w:r w:rsidR="007A26B6">
        <w:rPr>
          <w:rFonts w:cstheme="minorHAnsi"/>
        </w:rPr>
        <w:t xml:space="preserve">, and </w:t>
      </w:r>
      <w:hyperlink r:id="rId31" w:history="1">
        <w:r w:rsidR="007A26B6" w:rsidRPr="003C0DEB">
          <w:rPr>
            <w:rStyle w:val="Hyperlink"/>
            <w:rFonts w:cstheme="minorHAnsi"/>
          </w:rPr>
          <w:t>SCINet.</w:t>
        </w:r>
      </w:hyperlink>
    </w:p>
    <w:p w14:paraId="2D93FC55" w14:textId="7D7489A1" w:rsidR="004254B6" w:rsidRPr="00616FF4" w:rsidRDefault="004254B6" w:rsidP="00216E7B">
      <w:pPr>
        <w:pStyle w:val="ListParagraph"/>
        <w:numPr>
          <w:ilvl w:val="0"/>
          <w:numId w:val="16"/>
        </w:numPr>
        <w:spacing w:after="0"/>
        <w:contextualSpacing w:val="0"/>
        <w:rPr>
          <w:rFonts w:cstheme="minorHAnsi"/>
        </w:rPr>
      </w:pPr>
      <w:r w:rsidRPr="00616FF4">
        <w:rPr>
          <w:rFonts w:cstheme="minorHAnsi"/>
        </w:rPr>
        <w:t>FNS conducts applied research and analysis to inform and evaluate food and nutrition assistance programs</w:t>
      </w:r>
      <w:r w:rsidR="00AF1F02" w:rsidRPr="00616FF4">
        <w:rPr>
          <w:rFonts w:cstheme="minorHAnsi"/>
        </w:rPr>
        <w:t xml:space="preserve">, including program integrity, reach, and effectiveness. </w:t>
      </w:r>
      <w:r w:rsidR="001D0ADD">
        <w:rPr>
          <w:rFonts w:cstheme="minorHAnsi"/>
        </w:rPr>
        <w:t>F</w:t>
      </w:r>
      <w:r w:rsidRPr="00616FF4">
        <w:rPr>
          <w:rFonts w:cstheme="minorHAnsi"/>
        </w:rPr>
        <w:t>ew studies have focused on</w:t>
      </w:r>
      <w:r w:rsidR="00146337" w:rsidRPr="00616FF4">
        <w:rPr>
          <w:rFonts w:cstheme="minorHAnsi"/>
        </w:rPr>
        <w:t xml:space="preserve"> program</w:t>
      </w:r>
      <w:r w:rsidRPr="00616FF4">
        <w:rPr>
          <w:rFonts w:cstheme="minorHAnsi"/>
        </w:rPr>
        <w:t xml:space="preserve"> disparities</w:t>
      </w:r>
      <w:r w:rsidR="00146337" w:rsidRPr="00616FF4">
        <w:rPr>
          <w:rFonts w:cstheme="minorHAnsi"/>
        </w:rPr>
        <w:t>,</w:t>
      </w:r>
      <w:r w:rsidR="008A36C5" w:rsidRPr="00616FF4">
        <w:rPr>
          <w:rFonts w:cstheme="minorHAnsi"/>
        </w:rPr>
        <w:t xml:space="preserve"> but additional data </w:t>
      </w:r>
      <w:r w:rsidR="00736C63">
        <w:rPr>
          <w:rFonts w:cstheme="minorHAnsi"/>
        </w:rPr>
        <w:t>are</w:t>
      </w:r>
      <w:r w:rsidR="008A36C5" w:rsidRPr="00616FF4">
        <w:rPr>
          <w:rFonts w:cstheme="minorHAnsi"/>
        </w:rPr>
        <w:t xml:space="preserve"> being </w:t>
      </w:r>
      <w:r w:rsidR="00CE5CB0">
        <w:rPr>
          <w:rFonts w:cstheme="minorHAnsi"/>
        </w:rPr>
        <w:t>studied</w:t>
      </w:r>
      <w:r w:rsidR="008A36C5" w:rsidRPr="00616FF4">
        <w:rPr>
          <w:rFonts w:cstheme="minorHAnsi"/>
        </w:rPr>
        <w:t xml:space="preserve"> to assess equity in program access, </w:t>
      </w:r>
      <w:r w:rsidR="00736C63">
        <w:rPr>
          <w:rFonts w:cstheme="minorHAnsi"/>
        </w:rPr>
        <w:t xml:space="preserve">benefits </w:t>
      </w:r>
      <w:r w:rsidR="008A36C5" w:rsidRPr="00616FF4">
        <w:rPr>
          <w:rFonts w:cstheme="minorHAnsi"/>
        </w:rPr>
        <w:t>provision, and outcomes.</w:t>
      </w:r>
      <w:r w:rsidRPr="00B076FF">
        <w:rPr>
          <w:rFonts w:cstheme="minorHAnsi"/>
        </w:rPr>
        <w:t xml:space="preserve"> </w:t>
      </w:r>
      <w:r w:rsidR="00E44F7B">
        <w:rPr>
          <w:rFonts w:cstheme="minorHAnsi"/>
        </w:rPr>
        <w:t>S</w:t>
      </w:r>
      <w:r w:rsidR="00C33C1B" w:rsidRPr="00616FF4">
        <w:rPr>
          <w:rFonts w:cstheme="minorHAnsi"/>
        </w:rPr>
        <w:t>ome states do</w:t>
      </w:r>
      <w:r w:rsidR="00CE5CB0">
        <w:rPr>
          <w:rFonts w:cstheme="minorHAnsi"/>
        </w:rPr>
        <w:t>n’</w:t>
      </w:r>
      <w:r w:rsidR="00C33C1B" w:rsidRPr="00616FF4">
        <w:rPr>
          <w:rFonts w:cstheme="minorHAnsi"/>
        </w:rPr>
        <w:t xml:space="preserve">t provide data on race and ethnicity or program </w:t>
      </w:r>
      <w:r w:rsidR="00C33C1B" w:rsidRPr="00616FF4">
        <w:rPr>
          <w:rFonts w:cstheme="minorHAnsi"/>
        </w:rPr>
        <w:lastRenderedPageBreak/>
        <w:t>accessibility</w:t>
      </w:r>
      <w:r w:rsidR="001D0ADD">
        <w:rPr>
          <w:rFonts w:cstheme="minorHAnsi"/>
        </w:rPr>
        <w:t>,</w:t>
      </w:r>
      <w:r w:rsidR="00C33C1B" w:rsidRPr="00616FF4">
        <w:rPr>
          <w:rFonts w:cstheme="minorHAnsi"/>
        </w:rPr>
        <w:t xml:space="preserve"> and </w:t>
      </w:r>
      <w:r w:rsidR="001D0ADD">
        <w:rPr>
          <w:rFonts w:cstheme="minorHAnsi"/>
        </w:rPr>
        <w:t>some</w:t>
      </w:r>
      <w:r w:rsidR="00C33C1B" w:rsidRPr="00616FF4">
        <w:rPr>
          <w:rFonts w:cstheme="minorHAnsi"/>
        </w:rPr>
        <w:t xml:space="preserve"> types of data collection </w:t>
      </w:r>
      <w:r w:rsidR="001D0ADD">
        <w:rPr>
          <w:rFonts w:cstheme="minorHAnsi"/>
        </w:rPr>
        <w:t>are</w:t>
      </w:r>
      <w:r w:rsidR="00C33C1B" w:rsidRPr="00616FF4">
        <w:rPr>
          <w:rFonts w:cstheme="minorHAnsi"/>
        </w:rPr>
        <w:t xml:space="preserve"> not allowed for certain programs. </w:t>
      </w:r>
      <w:r w:rsidR="0019238B" w:rsidRPr="00616FF4">
        <w:rPr>
          <w:rFonts w:cstheme="minorHAnsi"/>
        </w:rPr>
        <w:t xml:space="preserve">Secondary analyses on existing data and new data collection methods may </w:t>
      </w:r>
      <w:r w:rsidR="00E44F7B">
        <w:rPr>
          <w:rFonts w:cstheme="minorHAnsi"/>
        </w:rPr>
        <w:t>provide</w:t>
      </w:r>
      <w:r w:rsidR="0019238B" w:rsidRPr="00616FF4">
        <w:rPr>
          <w:rFonts w:cstheme="minorHAnsi"/>
        </w:rPr>
        <w:t xml:space="preserve"> additional metrics. </w:t>
      </w:r>
    </w:p>
    <w:p w14:paraId="0B0BF0CA" w14:textId="6142FCAF" w:rsidR="004254B6" w:rsidRPr="00616FF4" w:rsidRDefault="00195B9C" w:rsidP="00216E7B">
      <w:pPr>
        <w:pStyle w:val="ListParagraph"/>
        <w:numPr>
          <w:ilvl w:val="0"/>
          <w:numId w:val="16"/>
        </w:numPr>
        <w:spacing w:after="0"/>
        <w:contextualSpacing w:val="0"/>
        <w:rPr>
          <w:rFonts w:cstheme="minorHAnsi"/>
        </w:rPr>
      </w:pPr>
      <w:r w:rsidRPr="00616FF4">
        <w:rPr>
          <w:rFonts w:cstheme="minorHAnsi"/>
        </w:rPr>
        <w:t>ERS</w:t>
      </w:r>
      <w:r w:rsidR="00CE5CB0">
        <w:rPr>
          <w:rFonts w:cstheme="minorHAnsi"/>
        </w:rPr>
        <w:t>’</w:t>
      </w:r>
      <w:r w:rsidRPr="00616FF4">
        <w:rPr>
          <w:rFonts w:cstheme="minorHAnsi"/>
        </w:rPr>
        <w:t xml:space="preserve"> </w:t>
      </w:r>
      <w:hyperlink r:id="rId32" w:history="1">
        <w:r w:rsidRPr="00400B2B">
          <w:rPr>
            <w:rStyle w:val="Hyperlink"/>
            <w:rFonts w:cstheme="minorHAnsi"/>
          </w:rPr>
          <w:t>Consumer Food Data System</w:t>
        </w:r>
      </w:hyperlink>
      <w:r w:rsidRPr="00616FF4">
        <w:rPr>
          <w:rFonts w:cstheme="minorHAnsi"/>
        </w:rPr>
        <w:t xml:space="preserve"> integrates data from government, commercial, and academic sources on food markets, food choices, food safety, food security, and nutrition assistance programs.</w:t>
      </w:r>
      <w:r w:rsidR="00880B32" w:rsidRPr="00616FF4">
        <w:rPr>
          <w:rFonts w:cstheme="minorHAnsi"/>
        </w:rPr>
        <w:t xml:space="preserve"> The </w:t>
      </w:r>
      <w:hyperlink r:id="rId33" w:history="1">
        <w:r w:rsidR="00880B32" w:rsidRPr="001178CB">
          <w:rPr>
            <w:rStyle w:val="Hyperlink"/>
            <w:rFonts w:cstheme="minorHAnsi"/>
          </w:rPr>
          <w:t>Food Environment Atlas</w:t>
        </w:r>
      </w:hyperlink>
      <w:r w:rsidR="00880B32" w:rsidRPr="00616FF4">
        <w:rPr>
          <w:rFonts w:cstheme="minorHAnsi"/>
        </w:rPr>
        <w:t xml:space="preserve"> has 200+ indicators of a community’s ability to access healthy food and its success in doing so. Food security statistics are available through data collected in the </w:t>
      </w:r>
      <w:hyperlink r:id="rId34" w:history="1">
        <w:r w:rsidR="00880B32" w:rsidRPr="00F36849">
          <w:rPr>
            <w:rStyle w:val="Hyperlink"/>
            <w:rFonts w:cstheme="minorHAnsi"/>
          </w:rPr>
          <w:t>Current Population Survey</w:t>
        </w:r>
      </w:hyperlink>
      <w:r w:rsidR="00880B32" w:rsidRPr="00616FF4">
        <w:rPr>
          <w:rFonts w:cstheme="minorHAnsi"/>
        </w:rPr>
        <w:t>, and ERS also has researcher-focused guides for food security measurement.</w:t>
      </w:r>
      <w:r w:rsidR="006A0AF7" w:rsidRPr="00616FF4">
        <w:rPr>
          <w:rFonts w:cstheme="minorHAnsi"/>
        </w:rPr>
        <w:t xml:space="preserve"> The </w:t>
      </w:r>
      <w:hyperlink r:id="rId35" w:history="1">
        <w:r w:rsidR="006A0AF7" w:rsidRPr="00D529B4">
          <w:rPr>
            <w:rStyle w:val="Hyperlink"/>
            <w:rFonts w:cstheme="minorHAnsi"/>
          </w:rPr>
          <w:t>Purchase to Plate</w:t>
        </w:r>
      </w:hyperlink>
      <w:r w:rsidR="006A0AF7" w:rsidRPr="00616FF4">
        <w:rPr>
          <w:rFonts w:cstheme="minorHAnsi"/>
        </w:rPr>
        <w:t xml:space="preserve"> suite of resources includes a dataset linking purchased products in commercial datasets to USDA food codes to generate estimates of nutrients and USDA food pattern components. The </w:t>
      </w:r>
      <w:hyperlink r:id="rId36" w:history="1">
        <w:r w:rsidR="006A0AF7" w:rsidRPr="000E142F">
          <w:rPr>
            <w:rStyle w:val="Hyperlink"/>
            <w:rFonts w:cstheme="minorHAnsi"/>
          </w:rPr>
          <w:t>National Household Food Acquisition and Purchase Survey</w:t>
        </w:r>
      </w:hyperlink>
      <w:r w:rsidR="006A0AF7" w:rsidRPr="00616FF4">
        <w:rPr>
          <w:rFonts w:cstheme="minorHAnsi"/>
        </w:rPr>
        <w:t xml:space="preserve"> has comprehensive data on household food purchases and acquisitions durin</w:t>
      </w:r>
      <w:r w:rsidR="00CE5CB0">
        <w:rPr>
          <w:rFonts w:cstheme="minorHAnsi"/>
        </w:rPr>
        <w:t>g</w:t>
      </w:r>
      <w:r w:rsidR="006A0AF7" w:rsidRPr="00616FF4">
        <w:rPr>
          <w:rFonts w:cstheme="minorHAnsi"/>
        </w:rPr>
        <w:t xml:space="preserve"> 2012</w:t>
      </w:r>
      <w:r w:rsidR="003002AE">
        <w:rPr>
          <w:rFonts w:cstheme="minorHAnsi"/>
        </w:rPr>
        <w:t>–</w:t>
      </w:r>
      <w:r w:rsidR="006A0AF7" w:rsidRPr="00616FF4">
        <w:rPr>
          <w:rFonts w:cstheme="minorHAnsi"/>
        </w:rPr>
        <w:t xml:space="preserve">2013. </w:t>
      </w:r>
    </w:p>
    <w:p w14:paraId="5D571316" w14:textId="40CE3EDE" w:rsidR="006A0AF7" w:rsidRPr="00616FF4" w:rsidRDefault="006A0AF7" w:rsidP="00216E7B">
      <w:pPr>
        <w:pStyle w:val="ListParagraph"/>
        <w:numPr>
          <w:ilvl w:val="0"/>
          <w:numId w:val="16"/>
        </w:numPr>
        <w:spacing w:after="0"/>
        <w:rPr>
          <w:rFonts w:cstheme="minorHAnsi"/>
        </w:rPr>
      </w:pPr>
      <w:r w:rsidRPr="00616FF4">
        <w:rPr>
          <w:rFonts w:cstheme="minorHAnsi"/>
        </w:rPr>
        <w:t xml:space="preserve">NIFA is using a Letter of Cooperative Agreement to help advance implementation of the </w:t>
      </w:r>
      <w:hyperlink r:id="rId37" w:history="1">
        <w:r w:rsidRPr="00150311">
          <w:rPr>
            <w:rStyle w:val="Hyperlink"/>
            <w:rFonts w:cstheme="minorHAnsi"/>
          </w:rPr>
          <w:t>Cooperative Extension’s National Framework for Health Equity and Well-Being</w:t>
        </w:r>
      </w:hyperlink>
      <w:r w:rsidR="004C2D3F" w:rsidRPr="00616FF4">
        <w:rPr>
          <w:rFonts w:cstheme="minorHAnsi"/>
        </w:rPr>
        <w:t>. This work has implications for what data are collected relevant to health equity and well</w:t>
      </w:r>
      <w:r w:rsidR="003002AE">
        <w:rPr>
          <w:rFonts w:cstheme="minorHAnsi"/>
        </w:rPr>
        <w:t>-</w:t>
      </w:r>
      <w:r w:rsidR="004C2D3F" w:rsidRPr="00616FF4">
        <w:rPr>
          <w:rFonts w:cstheme="minorHAnsi"/>
        </w:rPr>
        <w:t xml:space="preserve">being across the </w:t>
      </w:r>
      <w:r w:rsidRPr="00616FF4">
        <w:rPr>
          <w:rFonts w:cstheme="minorHAnsi"/>
        </w:rPr>
        <w:t>National Cooperative Extension system</w:t>
      </w:r>
      <w:r w:rsidR="004C2D3F" w:rsidRPr="00616FF4">
        <w:rPr>
          <w:rFonts w:cstheme="minorHAnsi"/>
        </w:rPr>
        <w:t xml:space="preserve">. </w:t>
      </w:r>
      <w:r w:rsidR="00BF04A7" w:rsidRPr="00616FF4">
        <w:rPr>
          <w:rFonts w:cstheme="minorHAnsi"/>
        </w:rPr>
        <w:t>NIFA’s Agriculture Food and Research Initiative had a competitive grants program that provided funding for research, education, and extension projects directed to obesity prevention from 2011</w:t>
      </w:r>
      <w:r w:rsidR="003002AE">
        <w:rPr>
          <w:rFonts w:cstheme="minorHAnsi"/>
        </w:rPr>
        <w:t>–</w:t>
      </w:r>
      <w:r w:rsidR="00BF04A7" w:rsidRPr="00616FF4">
        <w:rPr>
          <w:rFonts w:cstheme="minorHAnsi"/>
        </w:rPr>
        <w:t xml:space="preserve">2017, which produced 550+ publications. </w:t>
      </w:r>
      <w:hyperlink r:id="rId38" w:history="1">
        <w:r w:rsidR="00046186" w:rsidRPr="00A16077">
          <w:rPr>
            <w:rStyle w:val="Hyperlink"/>
            <w:rFonts w:cstheme="minorHAnsi"/>
          </w:rPr>
          <w:t>NIFA’s Data Gateway</w:t>
        </w:r>
      </w:hyperlink>
      <w:r w:rsidR="00046186" w:rsidRPr="00616FF4">
        <w:rPr>
          <w:rFonts w:cstheme="minorHAnsi"/>
        </w:rPr>
        <w:t xml:space="preserve"> provides publicly available information on NIFA’s funded projects.</w:t>
      </w:r>
    </w:p>
    <w:p w14:paraId="4DA533ED" w14:textId="77777777" w:rsidR="00616FF4" w:rsidRDefault="00616FF4" w:rsidP="00216E7B">
      <w:pPr>
        <w:spacing w:line="276" w:lineRule="auto"/>
        <w:rPr>
          <w:rFonts w:cstheme="minorHAnsi"/>
          <w:b/>
          <w:bCs/>
          <w:sz w:val="22"/>
          <w:szCs w:val="22"/>
        </w:rPr>
      </w:pPr>
    </w:p>
    <w:p w14:paraId="0F5EBE47" w14:textId="24BE6A33" w:rsidR="00631135" w:rsidRDefault="00631135" w:rsidP="00216E7B">
      <w:pPr>
        <w:spacing w:line="276" w:lineRule="auto"/>
        <w:rPr>
          <w:rFonts w:cstheme="minorHAnsi"/>
          <w:b/>
          <w:bCs/>
          <w:sz w:val="22"/>
          <w:szCs w:val="22"/>
        </w:rPr>
      </w:pPr>
      <w:r w:rsidRPr="00616FF4">
        <w:rPr>
          <w:rFonts w:cstheme="minorHAnsi"/>
          <w:b/>
          <w:bCs/>
          <w:sz w:val="22"/>
          <w:szCs w:val="22"/>
        </w:rPr>
        <w:t xml:space="preserve">Discussion with </w:t>
      </w:r>
      <w:r w:rsidR="006C37A4">
        <w:rPr>
          <w:rFonts w:cstheme="minorHAnsi"/>
          <w:b/>
          <w:bCs/>
          <w:sz w:val="22"/>
          <w:szCs w:val="22"/>
        </w:rPr>
        <w:t>P</w:t>
      </w:r>
      <w:r w:rsidRPr="00616FF4">
        <w:rPr>
          <w:rFonts w:cstheme="minorHAnsi"/>
          <w:b/>
          <w:bCs/>
          <w:sz w:val="22"/>
          <w:szCs w:val="22"/>
        </w:rPr>
        <w:t>anelists</w:t>
      </w:r>
    </w:p>
    <w:p w14:paraId="37FCEF35" w14:textId="7D71A56F" w:rsidR="006C37A4" w:rsidRPr="00514AB3" w:rsidRDefault="006C37A4" w:rsidP="00216E7B">
      <w:pPr>
        <w:spacing w:line="276" w:lineRule="auto"/>
        <w:rPr>
          <w:rFonts w:cstheme="minorHAnsi"/>
          <w:b/>
          <w:bCs/>
          <w:sz w:val="16"/>
          <w:szCs w:val="16"/>
        </w:rPr>
      </w:pPr>
    </w:p>
    <w:p w14:paraId="5556D17B" w14:textId="36CFB860" w:rsidR="00631135" w:rsidRPr="00616FF4" w:rsidRDefault="004A3B36" w:rsidP="00216E7B">
      <w:pPr>
        <w:spacing w:line="276" w:lineRule="auto"/>
        <w:rPr>
          <w:rFonts w:cstheme="minorHAnsi"/>
          <w:sz w:val="22"/>
          <w:szCs w:val="22"/>
        </w:rPr>
      </w:pPr>
      <w:r>
        <w:rPr>
          <w:rFonts w:cstheme="minorHAnsi"/>
          <w:i/>
          <w:iCs/>
          <w:sz w:val="22"/>
          <w:szCs w:val="22"/>
        </w:rPr>
        <w:t xml:space="preserve">K. Hilyard: </w:t>
      </w:r>
      <w:r w:rsidR="0040137D" w:rsidRPr="0040137D">
        <w:rPr>
          <w:rFonts w:cstheme="minorHAnsi"/>
          <w:i/>
          <w:iCs/>
          <w:sz w:val="22"/>
          <w:szCs w:val="22"/>
        </w:rPr>
        <w:t>C</w:t>
      </w:r>
      <w:r w:rsidR="00631135" w:rsidRPr="0040137D">
        <w:rPr>
          <w:rFonts w:cstheme="minorHAnsi"/>
          <w:i/>
          <w:iCs/>
          <w:sz w:val="22"/>
          <w:szCs w:val="22"/>
        </w:rPr>
        <w:t xml:space="preserve">onsidering how surveillance was interrupted </w:t>
      </w:r>
      <w:r w:rsidR="0040137D">
        <w:rPr>
          <w:rFonts w:cstheme="minorHAnsi"/>
          <w:i/>
          <w:iCs/>
          <w:sz w:val="22"/>
          <w:szCs w:val="22"/>
        </w:rPr>
        <w:t>in</w:t>
      </w:r>
      <w:r w:rsidR="0040137D" w:rsidRPr="0040137D">
        <w:rPr>
          <w:rFonts w:cstheme="minorHAnsi"/>
          <w:i/>
          <w:iCs/>
          <w:sz w:val="22"/>
          <w:szCs w:val="22"/>
        </w:rPr>
        <w:t xml:space="preserve"> the</w:t>
      </w:r>
      <w:r w:rsidR="00631135" w:rsidRPr="0040137D">
        <w:rPr>
          <w:rFonts w:cstheme="minorHAnsi"/>
          <w:i/>
          <w:iCs/>
          <w:sz w:val="22"/>
          <w:szCs w:val="22"/>
        </w:rPr>
        <w:t xml:space="preserve"> pandemic, what role can NCCOR play?</w:t>
      </w:r>
    </w:p>
    <w:p w14:paraId="7EAF500B" w14:textId="4779FEAE" w:rsidR="00631135" w:rsidRDefault="00C94144" w:rsidP="00216E7B">
      <w:pPr>
        <w:numPr>
          <w:ilvl w:val="0"/>
          <w:numId w:val="17"/>
        </w:numPr>
        <w:spacing w:line="276" w:lineRule="auto"/>
        <w:rPr>
          <w:rFonts w:cstheme="minorHAnsi"/>
          <w:sz w:val="22"/>
          <w:szCs w:val="22"/>
        </w:rPr>
      </w:pPr>
      <w:r>
        <w:rPr>
          <w:rFonts w:cstheme="minorHAnsi"/>
          <w:sz w:val="22"/>
          <w:szCs w:val="22"/>
        </w:rPr>
        <w:t xml:space="preserve">J. McClain: NCCOR members with expertise in surveillance methodology and approaches could contribute to proposals to leverage data that is not publicly available or support innovative approaches to data curation, layering, and linkage.  </w:t>
      </w:r>
    </w:p>
    <w:p w14:paraId="2E2C3646" w14:textId="623FE4D3" w:rsidR="00C94144" w:rsidRPr="00616FF4" w:rsidRDefault="00C94144" w:rsidP="00216E7B">
      <w:pPr>
        <w:numPr>
          <w:ilvl w:val="0"/>
          <w:numId w:val="17"/>
        </w:numPr>
        <w:spacing w:line="276" w:lineRule="auto"/>
        <w:rPr>
          <w:rFonts w:cstheme="minorHAnsi"/>
          <w:sz w:val="22"/>
          <w:szCs w:val="22"/>
        </w:rPr>
      </w:pPr>
      <w:r>
        <w:rPr>
          <w:rFonts w:cstheme="minorHAnsi"/>
          <w:sz w:val="22"/>
          <w:szCs w:val="22"/>
        </w:rPr>
        <w:t>D. Galuska: NCCOR could identify sources of non-surveillance and/or non-government data that were leveraged for decision making during the pandemic, such as EHR and mobility data.</w:t>
      </w:r>
    </w:p>
    <w:p w14:paraId="6605C2B9" w14:textId="060C11D8" w:rsidR="001E091A" w:rsidRDefault="001E091A" w:rsidP="00216E7B">
      <w:pPr>
        <w:spacing w:line="276" w:lineRule="auto"/>
        <w:rPr>
          <w:rFonts w:cstheme="minorHAnsi"/>
          <w:sz w:val="22"/>
          <w:szCs w:val="22"/>
        </w:rPr>
      </w:pPr>
    </w:p>
    <w:p w14:paraId="18154EC2" w14:textId="15E0BDB1" w:rsidR="001E091A" w:rsidRPr="001E091A" w:rsidRDefault="001E091A" w:rsidP="00216E7B">
      <w:pPr>
        <w:spacing w:line="276" w:lineRule="auto"/>
        <w:rPr>
          <w:rFonts w:cstheme="minorHAnsi"/>
          <w:i/>
          <w:iCs/>
          <w:sz w:val="22"/>
          <w:szCs w:val="22"/>
        </w:rPr>
      </w:pPr>
      <w:r>
        <w:rPr>
          <w:rFonts w:cstheme="minorHAnsi"/>
          <w:i/>
          <w:iCs/>
          <w:sz w:val="22"/>
          <w:szCs w:val="22"/>
        </w:rPr>
        <w:t>K. Hilyard: What data modernization strategies/project</w:t>
      </w:r>
      <w:r w:rsidR="00B24EDF">
        <w:rPr>
          <w:rFonts w:cstheme="minorHAnsi"/>
          <w:i/>
          <w:iCs/>
          <w:sz w:val="22"/>
          <w:szCs w:val="22"/>
        </w:rPr>
        <w:t>s</w:t>
      </w:r>
      <w:r>
        <w:rPr>
          <w:rFonts w:cstheme="minorHAnsi"/>
          <w:i/>
          <w:iCs/>
          <w:sz w:val="22"/>
          <w:szCs w:val="22"/>
        </w:rPr>
        <w:t xml:space="preserve"> discussed today are particularly applicable for your work and how could you use it?</w:t>
      </w:r>
    </w:p>
    <w:p w14:paraId="3241EE61" w14:textId="364081D8" w:rsidR="00631135" w:rsidRDefault="00C94144" w:rsidP="00216E7B">
      <w:pPr>
        <w:numPr>
          <w:ilvl w:val="0"/>
          <w:numId w:val="17"/>
        </w:numPr>
        <w:spacing w:line="276" w:lineRule="auto"/>
        <w:rPr>
          <w:rFonts w:cstheme="minorHAnsi"/>
          <w:sz w:val="22"/>
          <w:szCs w:val="22"/>
        </w:rPr>
      </w:pPr>
      <w:r>
        <w:rPr>
          <w:rFonts w:cstheme="minorHAnsi"/>
          <w:sz w:val="22"/>
          <w:szCs w:val="22"/>
        </w:rPr>
        <w:t>H.</w:t>
      </w:r>
      <w:r w:rsidR="00631135" w:rsidRPr="00616FF4">
        <w:rPr>
          <w:rFonts w:cstheme="minorHAnsi"/>
          <w:sz w:val="22"/>
          <w:szCs w:val="22"/>
        </w:rPr>
        <w:t xml:space="preserve"> Hamner</w:t>
      </w:r>
      <w:r w:rsidR="001E091A">
        <w:rPr>
          <w:rFonts w:cstheme="minorHAnsi"/>
          <w:sz w:val="22"/>
          <w:szCs w:val="22"/>
        </w:rPr>
        <w:t xml:space="preserve">: The data collection and linkage efforts underway are incredible, but it can be hard to communicate to potential end users about how it works and its potential value for their work. How can </w:t>
      </w:r>
      <w:r w:rsidR="00631135" w:rsidRPr="00616FF4">
        <w:rPr>
          <w:rFonts w:cstheme="minorHAnsi"/>
          <w:sz w:val="22"/>
          <w:szCs w:val="22"/>
        </w:rPr>
        <w:t xml:space="preserve">NCCOR </w:t>
      </w:r>
      <w:r w:rsidR="005A0BE4">
        <w:rPr>
          <w:rFonts w:cstheme="minorHAnsi"/>
          <w:sz w:val="22"/>
          <w:szCs w:val="22"/>
        </w:rPr>
        <w:t>help translate these resources so people can understand and act on them? In other words, h</w:t>
      </w:r>
      <w:r w:rsidR="00631135" w:rsidRPr="00616FF4">
        <w:rPr>
          <w:rFonts w:cstheme="minorHAnsi"/>
          <w:sz w:val="22"/>
          <w:szCs w:val="22"/>
        </w:rPr>
        <w:t>ow do we make</w:t>
      </w:r>
      <w:r w:rsidR="005A0BE4">
        <w:rPr>
          <w:rFonts w:cstheme="minorHAnsi"/>
          <w:sz w:val="22"/>
          <w:szCs w:val="22"/>
        </w:rPr>
        <w:t xml:space="preserve"> non-</w:t>
      </w:r>
      <w:r w:rsidR="00631135" w:rsidRPr="00616FF4">
        <w:rPr>
          <w:rFonts w:cstheme="minorHAnsi"/>
          <w:sz w:val="22"/>
          <w:szCs w:val="22"/>
        </w:rPr>
        <w:t xml:space="preserve">data scientists understand </w:t>
      </w:r>
      <w:r w:rsidR="006D630C">
        <w:rPr>
          <w:rFonts w:cstheme="minorHAnsi"/>
          <w:sz w:val="22"/>
          <w:szCs w:val="22"/>
        </w:rPr>
        <w:t>the importance of</w:t>
      </w:r>
      <w:r w:rsidR="00631135" w:rsidRPr="00616FF4">
        <w:rPr>
          <w:rFonts w:cstheme="minorHAnsi"/>
          <w:sz w:val="22"/>
          <w:szCs w:val="22"/>
        </w:rPr>
        <w:t xml:space="preserve"> the data scien</w:t>
      </w:r>
      <w:r w:rsidR="006D630C">
        <w:rPr>
          <w:rFonts w:cstheme="minorHAnsi"/>
          <w:sz w:val="22"/>
          <w:szCs w:val="22"/>
        </w:rPr>
        <w:t>ce</w:t>
      </w:r>
      <w:r w:rsidR="00631135" w:rsidRPr="00616FF4">
        <w:rPr>
          <w:rFonts w:cstheme="minorHAnsi"/>
          <w:sz w:val="22"/>
          <w:szCs w:val="22"/>
        </w:rPr>
        <w:t>?</w:t>
      </w:r>
    </w:p>
    <w:p w14:paraId="63C2039F" w14:textId="0467E8E4" w:rsidR="008B2A8A" w:rsidRDefault="008B2A8A" w:rsidP="00216E7B">
      <w:pPr>
        <w:numPr>
          <w:ilvl w:val="0"/>
          <w:numId w:val="17"/>
        </w:numPr>
        <w:spacing w:line="276" w:lineRule="auto"/>
        <w:rPr>
          <w:rFonts w:cstheme="minorHAnsi"/>
          <w:sz w:val="22"/>
          <w:szCs w:val="22"/>
        </w:rPr>
      </w:pPr>
      <w:r>
        <w:rPr>
          <w:rFonts w:cstheme="minorHAnsi"/>
          <w:sz w:val="22"/>
          <w:szCs w:val="22"/>
        </w:rPr>
        <w:t>D. Galuska: We are designing research studies with end users in mind</w:t>
      </w:r>
      <w:r w:rsidR="001B1A90">
        <w:rPr>
          <w:rFonts w:cstheme="minorHAnsi"/>
          <w:sz w:val="22"/>
          <w:szCs w:val="22"/>
        </w:rPr>
        <w:t>—</w:t>
      </w:r>
      <w:r>
        <w:rPr>
          <w:rFonts w:cstheme="minorHAnsi"/>
          <w:sz w:val="22"/>
          <w:szCs w:val="22"/>
        </w:rPr>
        <w:t xml:space="preserve">assessing their needs up front and designing the study to collect and communicate data in a way that meets their needs. </w:t>
      </w:r>
    </w:p>
    <w:p w14:paraId="6DBCBB2B" w14:textId="1A9CEBC3" w:rsidR="00D37182" w:rsidRPr="00616FF4" w:rsidRDefault="00D37182" w:rsidP="00216E7B">
      <w:pPr>
        <w:numPr>
          <w:ilvl w:val="0"/>
          <w:numId w:val="17"/>
        </w:numPr>
        <w:spacing w:line="276" w:lineRule="auto"/>
        <w:rPr>
          <w:rFonts w:cstheme="minorHAnsi"/>
          <w:sz w:val="22"/>
          <w:szCs w:val="22"/>
        </w:rPr>
      </w:pPr>
      <w:r>
        <w:rPr>
          <w:rFonts w:cstheme="minorHAnsi"/>
          <w:sz w:val="22"/>
          <w:szCs w:val="22"/>
        </w:rPr>
        <w:t xml:space="preserve">M. </w:t>
      </w:r>
      <w:proofErr w:type="spellStart"/>
      <w:r>
        <w:rPr>
          <w:rFonts w:cstheme="minorHAnsi"/>
          <w:sz w:val="22"/>
          <w:szCs w:val="22"/>
        </w:rPr>
        <w:t>Abley</w:t>
      </w:r>
      <w:proofErr w:type="spellEnd"/>
      <w:r>
        <w:rPr>
          <w:rFonts w:cstheme="minorHAnsi"/>
          <w:sz w:val="22"/>
          <w:szCs w:val="22"/>
        </w:rPr>
        <w:t xml:space="preserve">: USDA is planning sessions with stakeholders to learn how to better tailor </w:t>
      </w:r>
      <w:r w:rsidR="001B1A90">
        <w:rPr>
          <w:rFonts w:cstheme="minorHAnsi"/>
          <w:sz w:val="22"/>
          <w:szCs w:val="22"/>
        </w:rPr>
        <w:t>its m</w:t>
      </w:r>
      <w:r>
        <w:rPr>
          <w:rFonts w:cstheme="minorHAnsi"/>
          <w:sz w:val="22"/>
          <w:szCs w:val="22"/>
        </w:rPr>
        <w:t>essages</w:t>
      </w:r>
      <w:r w:rsidR="001B1A90">
        <w:rPr>
          <w:rFonts w:cstheme="minorHAnsi"/>
          <w:sz w:val="22"/>
          <w:szCs w:val="22"/>
        </w:rPr>
        <w:t>.</w:t>
      </w:r>
    </w:p>
    <w:p w14:paraId="6051C393" w14:textId="3BC8C4CB" w:rsidR="008B2A8A" w:rsidRDefault="008B2A8A" w:rsidP="00216E7B">
      <w:pPr>
        <w:spacing w:line="276" w:lineRule="auto"/>
        <w:rPr>
          <w:rFonts w:cstheme="minorHAnsi"/>
          <w:sz w:val="22"/>
          <w:szCs w:val="22"/>
        </w:rPr>
      </w:pPr>
    </w:p>
    <w:p w14:paraId="65BC787B" w14:textId="77777777" w:rsidR="00FC6A7D" w:rsidRDefault="008B2A8A" w:rsidP="00216E7B">
      <w:pPr>
        <w:spacing w:line="276" w:lineRule="auto"/>
        <w:rPr>
          <w:rFonts w:cstheme="minorHAnsi"/>
          <w:i/>
          <w:iCs/>
          <w:sz w:val="22"/>
          <w:szCs w:val="22"/>
        </w:rPr>
      </w:pPr>
      <w:r>
        <w:rPr>
          <w:rFonts w:cstheme="minorHAnsi"/>
          <w:i/>
          <w:iCs/>
          <w:sz w:val="22"/>
          <w:szCs w:val="22"/>
        </w:rPr>
        <w:t xml:space="preserve">J. Fulton: </w:t>
      </w:r>
      <w:r w:rsidR="00FC6A7D">
        <w:rPr>
          <w:rFonts w:cstheme="minorHAnsi"/>
          <w:i/>
          <w:iCs/>
          <w:sz w:val="22"/>
          <w:szCs w:val="22"/>
        </w:rPr>
        <w:t xml:space="preserve">What have partners expressed as key needs in terms of data modernization? </w:t>
      </w:r>
    </w:p>
    <w:p w14:paraId="555B6EF0" w14:textId="0C3A00D5" w:rsidR="00631135" w:rsidRPr="00FC6A7D" w:rsidRDefault="00AF3176" w:rsidP="00216E7B">
      <w:pPr>
        <w:pStyle w:val="ListParagraph"/>
        <w:numPr>
          <w:ilvl w:val="0"/>
          <w:numId w:val="24"/>
        </w:numPr>
        <w:spacing w:after="0"/>
        <w:rPr>
          <w:rFonts w:cstheme="minorHAnsi"/>
          <w:i/>
          <w:iCs/>
        </w:rPr>
      </w:pPr>
      <w:r>
        <w:rPr>
          <w:rFonts w:cstheme="minorHAnsi"/>
        </w:rPr>
        <w:t xml:space="preserve">J. McClain: The deeper we go into EHRs, </w:t>
      </w:r>
      <w:r w:rsidR="00D37182" w:rsidRPr="00FC6A7D">
        <w:rPr>
          <w:rFonts w:cstheme="minorHAnsi"/>
        </w:rPr>
        <w:t>informatics</w:t>
      </w:r>
      <w:r>
        <w:rPr>
          <w:rFonts w:cstheme="minorHAnsi"/>
        </w:rPr>
        <w:t>,</w:t>
      </w:r>
      <w:r w:rsidR="00D37182" w:rsidRPr="00FC6A7D">
        <w:rPr>
          <w:rFonts w:cstheme="minorHAnsi"/>
        </w:rPr>
        <w:t xml:space="preserve"> phenotyping</w:t>
      </w:r>
      <w:r>
        <w:rPr>
          <w:rFonts w:cstheme="minorHAnsi"/>
        </w:rPr>
        <w:t>, etc., the</w:t>
      </w:r>
      <w:r w:rsidR="001F4C41">
        <w:rPr>
          <w:rFonts w:cstheme="minorHAnsi"/>
        </w:rPr>
        <w:t xml:space="preserve"> </w:t>
      </w:r>
      <w:r>
        <w:rPr>
          <w:rFonts w:cstheme="minorHAnsi"/>
        </w:rPr>
        <w:t>clear</w:t>
      </w:r>
      <w:r w:rsidR="001F4C41">
        <w:rPr>
          <w:rFonts w:cstheme="minorHAnsi"/>
        </w:rPr>
        <w:t>er</w:t>
      </w:r>
      <w:r>
        <w:rPr>
          <w:rFonts w:cstheme="minorHAnsi"/>
        </w:rPr>
        <w:t xml:space="preserve"> it becomes that the necessary information is not always available. Additional data linking supports are needed to </w:t>
      </w:r>
      <w:r>
        <w:rPr>
          <w:rFonts w:cstheme="minorHAnsi"/>
        </w:rPr>
        <w:lastRenderedPageBreak/>
        <w:t xml:space="preserve">bring in private sector data, for example, to paint a more complete picture and answer more complex questions. </w:t>
      </w:r>
      <w:r w:rsidR="00631135" w:rsidRPr="00FC6A7D">
        <w:rPr>
          <w:rFonts w:cstheme="minorHAnsi"/>
        </w:rPr>
        <w:t xml:space="preserve"> </w:t>
      </w:r>
    </w:p>
    <w:p w14:paraId="0C78D78A" w14:textId="77777777" w:rsidR="00D37182" w:rsidRDefault="00D37182" w:rsidP="00216E7B">
      <w:pPr>
        <w:spacing w:line="276" w:lineRule="auto"/>
        <w:rPr>
          <w:rFonts w:cstheme="minorHAnsi"/>
          <w:sz w:val="22"/>
          <w:szCs w:val="22"/>
        </w:rPr>
      </w:pPr>
    </w:p>
    <w:p w14:paraId="2FBBD903" w14:textId="422260B8" w:rsidR="00631135" w:rsidRPr="00003DF0" w:rsidRDefault="00D37182" w:rsidP="00216E7B">
      <w:pPr>
        <w:spacing w:line="276" w:lineRule="auto"/>
        <w:rPr>
          <w:rFonts w:cstheme="minorHAnsi"/>
          <w:i/>
          <w:iCs/>
          <w:sz w:val="22"/>
          <w:szCs w:val="22"/>
        </w:rPr>
      </w:pPr>
      <w:r>
        <w:rPr>
          <w:rFonts w:cstheme="minorHAnsi"/>
          <w:i/>
          <w:iCs/>
          <w:sz w:val="22"/>
          <w:szCs w:val="22"/>
        </w:rPr>
        <w:t>A. Kuma</w:t>
      </w:r>
      <w:r w:rsidR="007F2603">
        <w:rPr>
          <w:rFonts w:cstheme="minorHAnsi"/>
          <w:i/>
          <w:iCs/>
          <w:sz w:val="22"/>
          <w:szCs w:val="22"/>
        </w:rPr>
        <w:t>r</w:t>
      </w:r>
      <w:r>
        <w:rPr>
          <w:rFonts w:cstheme="minorHAnsi"/>
          <w:i/>
          <w:iCs/>
          <w:sz w:val="22"/>
          <w:szCs w:val="22"/>
        </w:rPr>
        <w:t>:</w:t>
      </w:r>
      <w:r w:rsidR="00631135" w:rsidRPr="00616FF4">
        <w:rPr>
          <w:rFonts w:cstheme="minorHAnsi"/>
          <w:sz w:val="22"/>
          <w:szCs w:val="22"/>
        </w:rPr>
        <w:t xml:space="preserve"> </w:t>
      </w:r>
      <w:r w:rsidR="00003DF0" w:rsidRPr="00003DF0">
        <w:rPr>
          <w:rFonts w:cstheme="minorHAnsi"/>
          <w:i/>
          <w:iCs/>
          <w:sz w:val="22"/>
          <w:szCs w:val="22"/>
        </w:rPr>
        <w:t>How are data being collected for RWJF’s</w:t>
      </w:r>
      <w:r w:rsidR="00631135" w:rsidRPr="00003DF0">
        <w:rPr>
          <w:rFonts w:cstheme="minorHAnsi"/>
          <w:i/>
          <w:iCs/>
          <w:sz w:val="22"/>
          <w:szCs w:val="22"/>
        </w:rPr>
        <w:t xml:space="preserve"> Integrated Data Systems</w:t>
      </w:r>
      <w:r w:rsidR="00003DF0" w:rsidRPr="00003DF0">
        <w:rPr>
          <w:rFonts w:cstheme="minorHAnsi"/>
          <w:i/>
          <w:iCs/>
          <w:sz w:val="22"/>
          <w:szCs w:val="22"/>
        </w:rPr>
        <w:t>?</w:t>
      </w:r>
    </w:p>
    <w:p w14:paraId="54810A2D" w14:textId="436927B0" w:rsidR="00631135" w:rsidRPr="00616FF4" w:rsidRDefault="00003DF0" w:rsidP="00216E7B">
      <w:pPr>
        <w:numPr>
          <w:ilvl w:val="0"/>
          <w:numId w:val="17"/>
        </w:numPr>
        <w:spacing w:line="276" w:lineRule="auto"/>
        <w:rPr>
          <w:rFonts w:cstheme="minorHAnsi"/>
          <w:sz w:val="22"/>
          <w:szCs w:val="22"/>
        </w:rPr>
      </w:pPr>
      <w:r>
        <w:rPr>
          <w:rFonts w:cstheme="minorHAnsi"/>
          <w:sz w:val="22"/>
          <w:szCs w:val="22"/>
        </w:rPr>
        <w:t xml:space="preserve">G. </w:t>
      </w:r>
      <w:proofErr w:type="spellStart"/>
      <w:r>
        <w:rPr>
          <w:rFonts w:cstheme="minorHAnsi"/>
          <w:sz w:val="22"/>
          <w:szCs w:val="22"/>
        </w:rPr>
        <w:t>Hobor</w:t>
      </w:r>
      <w:proofErr w:type="spellEnd"/>
      <w:r>
        <w:rPr>
          <w:rFonts w:cstheme="minorHAnsi"/>
          <w:sz w:val="22"/>
          <w:szCs w:val="22"/>
        </w:rPr>
        <w:t>:</w:t>
      </w:r>
      <w:r w:rsidR="00631135" w:rsidRPr="00616FF4">
        <w:rPr>
          <w:rFonts w:cstheme="minorHAnsi"/>
          <w:sz w:val="22"/>
          <w:szCs w:val="22"/>
        </w:rPr>
        <w:t xml:space="preserve"> </w:t>
      </w:r>
      <w:r w:rsidR="007D1084">
        <w:rPr>
          <w:rFonts w:cstheme="minorHAnsi"/>
          <w:sz w:val="22"/>
          <w:szCs w:val="22"/>
        </w:rPr>
        <w:t xml:space="preserve">Methods vary by place and whether the system is at the city or state level. These systems take varied forms and may be difficult to link to each other. Programs don’t </w:t>
      </w:r>
      <w:r w:rsidR="00631135" w:rsidRPr="00616FF4">
        <w:rPr>
          <w:rFonts w:cstheme="minorHAnsi"/>
          <w:sz w:val="22"/>
          <w:szCs w:val="22"/>
        </w:rPr>
        <w:t xml:space="preserve">always think about how they could better connect their data to other initiatives as they are planning. </w:t>
      </w:r>
      <w:r w:rsidR="00F115F6">
        <w:rPr>
          <w:rFonts w:cstheme="minorHAnsi"/>
          <w:sz w:val="22"/>
          <w:szCs w:val="22"/>
        </w:rPr>
        <w:t>NCCOR could consider data system</w:t>
      </w:r>
      <w:r w:rsidR="00631135" w:rsidRPr="00616FF4">
        <w:rPr>
          <w:rFonts w:cstheme="minorHAnsi"/>
          <w:sz w:val="22"/>
          <w:szCs w:val="22"/>
        </w:rPr>
        <w:t xml:space="preserve"> linking possibilities</w:t>
      </w:r>
      <w:r w:rsidR="00F115F6">
        <w:rPr>
          <w:rFonts w:cstheme="minorHAnsi"/>
          <w:sz w:val="22"/>
          <w:szCs w:val="22"/>
        </w:rPr>
        <w:t xml:space="preserve"> that could benefit its mission.</w:t>
      </w:r>
    </w:p>
    <w:p w14:paraId="4DAE9197" w14:textId="77777777" w:rsidR="00E22F32" w:rsidRDefault="00E22F32" w:rsidP="00216E7B">
      <w:pPr>
        <w:spacing w:line="276" w:lineRule="auto"/>
        <w:rPr>
          <w:rFonts w:cstheme="minorHAnsi"/>
          <w:sz w:val="22"/>
          <w:szCs w:val="22"/>
        </w:rPr>
      </w:pPr>
    </w:p>
    <w:p w14:paraId="75704220" w14:textId="152DF108" w:rsidR="00631135" w:rsidRPr="00616FF4" w:rsidRDefault="00E22F32" w:rsidP="00216E7B">
      <w:pPr>
        <w:spacing w:line="276" w:lineRule="auto"/>
        <w:rPr>
          <w:rFonts w:cstheme="minorHAnsi"/>
          <w:sz w:val="22"/>
          <w:szCs w:val="22"/>
        </w:rPr>
      </w:pPr>
      <w:r>
        <w:rPr>
          <w:rFonts w:cstheme="minorHAnsi"/>
          <w:i/>
          <w:iCs/>
          <w:sz w:val="22"/>
          <w:szCs w:val="22"/>
        </w:rPr>
        <w:t>K. Hilyard:  Do your organizations offer training in how to use data modernization tools and systems?</w:t>
      </w:r>
    </w:p>
    <w:p w14:paraId="1A4E7D59" w14:textId="77777777" w:rsidR="009C6592" w:rsidRDefault="009C6592" w:rsidP="00216E7B">
      <w:pPr>
        <w:numPr>
          <w:ilvl w:val="0"/>
          <w:numId w:val="17"/>
        </w:numPr>
        <w:spacing w:line="276" w:lineRule="auto"/>
        <w:rPr>
          <w:rFonts w:cstheme="minorHAnsi"/>
          <w:sz w:val="22"/>
          <w:szCs w:val="22"/>
        </w:rPr>
      </w:pPr>
      <w:r>
        <w:rPr>
          <w:rFonts w:cstheme="minorHAnsi"/>
          <w:sz w:val="22"/>
          <w:szCs w:val="22"/>
        </w:rPr>
        <w:t xml:space="preserve">D. Galuska: CDC is developing toolkits that will share lessons learned from the CODI projects. </w:t>
      </w:r>
    </w:p>
    <w:p w14:paraId="68DF84F8" w14:textId="434EB14D" w:rsidR="00631135" w:rsidRPr="00616FF4" w:rsidRDefault="009C6592" w:rsidP="00216E7B">
      <w:pPr>
        <w:numPr>
          <w:ilvl w:val="0"/>
          <w:numId w:val="17"/>
        </w:numPr>
        <w:spacing w:line="276" w:lineRule="auto"/>
        <w:rPr>
          <w:rFonts w:cstheme="minorHAnsi"/>
          <w:sz w:val="22"/>
          <w:szCs w:val="22"/>
        </w:rPr>
      </w:pPr>
      <w:r>
        <w:rPr>
          <w:rFonts w:cstheme="minorHAnsi"/>
          <w:sz w:val="22"/>
          <w:szCs w:val="22"/>
        </w:rPr>
        <w:t>J. McClain:</w:t>
      </w:r>
      <w:r w:rsidR="00631135" w:rsidRPr="00616FF4">
        <w:rPr>
          <w:rFonts w:cstheme="minorHAnsi"/>
          <w:sz w:val="22"/>
          <w:szCs w:val="22"/>
        </w:rPr>
        <w:t xml:space="preserve"> All of Us </w:t>
      </w:r>
      <w:r w:rsidR="00214C76">
        <w:rPr>
          <w:rFonts w:cstheme="minorHAnsi"/>
          <w:sz w:val="22"/>
          <w:szCs w:val="22"/>
        </w:rPr>
        <w:t xml:space="preserve">has a </w:t>
      </w:r>
      <w:r w:rsidR="00631135" w:rsidRPr="00616FF4">
        <w:rPr>
          <w:rFonts w:cstheme="minorHAnsi"/>
          <w:sz w:val="22"/>
          <w:szCs w:val="22"/>
        </w:rPr>
        <w:t>research on</w:t>
      </w:r>
      <w:r w:rsidR="00C04224">
        <w:rPr>
          <w:rFonts w:cstheme="minorHAnsi"/>
          <w:sz w:val="22"/>
          <w:szCs w:val="22"/>
        </w:rPr>
        <w:t>boarding and</w:t>
      </w:r>
      <w:r w:rsidR="00631135" w:rsidRPr="00616FF4">
        <w:rPr>
          <w:rFonts w:cstheme="minorHAnsi"/>
          <w:sz w:val="22"/>
          <w:szCs w:val="22"/>
        </w:rPr>
        <w:t xml:space="preserve"> training support portfolio</w:t>
      </w:r>
      <w:r w:rsidR="00B24EDF">
        <w:rPr>
          <w:rFonts w:cstheme="minorHAnsi"/>
          <w:sz w:val="22"/>
          <w:szCs w:val="22"/>
        </w:rPr>
        <w:t xml:space="preserve"> and</w:t>
      </w:r>
      <w:r w:rsidR="00631135" w:rsidRPr="00616FF4">
        <w:rPr>
          <w:rFonts w:cstheme="minorHAnsi"/>
          <w:sz w:val="22"/>
          <w:szCs w:val="22"/>
        </w:rPr>
        <w:t xml:space="preserve"> demonstration projects. </w:t>
      </w:r>
      <w:r w:rsidR="00214C76">
        <w:rPr>
          <w:rFonts w:cstheme="minorHAnsi"/>
          <w:sz w:val="22"/>
          <w:szCs w:val="22"/>
        </w:rPr>
        <w:t xml:space="preserve">NCCOR could contribute </w:t>
      </w:r>
      <w:r w:rsidR="00631135" w:rsidRPr="00616FF4">
        <w:rPr>
          <w:rFonts w:cstheme="minorHAnsi"/>
          <w:sz w:val="22"/>
          <w:szCs w:val="22"/>
        </w:rPr>
        <w:t>potential methodologies</w:t>
      </w:r>
      <w:r w:rsidR="00214C76">
        <w:rPr>
          <w:rFonts w:cstheme="minorHAnsi"/>
          <w:sz w:val="22"/>
          <w:szCs w:val="22"/>
        </w:rPr>
        <w:t xml:space="preserve"> and sample analyses</w:t>
      </w:r>
      <w:r w:rsidR="00631135" w:rsidRPr="00616FF4">
        <w:rPr>
          <w:rFonts w:cstheme="minorHAnsi"/>
          <w:sz w:val="22"/>
          <w:szCs w:val="22"/>
        </w:rPr>
        <w:t xml:space="preserve"> in shared workspaces </w:t>
      </w:r>
      <w:r w:rsidR="00214C76">
        <w:rPr>
          <w:rFonts w:cstheme="minorHAnsi"/>
          <w:sz w:val="22"/>
          <w:szCs w:val="22"/>
        </w:rPr>
        <w:t>or other environments that advance opportunities for the</w:t>
      </w:r>
      <w:r w:rsidR="00631135" w:rsidRPr="00616FF4">
        <w:rPr>
          <w:rFonts w:cstheme="minorHAnsi"/>
          <w:sz w:val="22"/>
          <w:szCs w:val="22"/>
        </w:rPr>
        <w:t xml:space="preserve"> broader research comm</w:t>
      </w:r>
      <w:r w:rsidR="00214C76">
        <w:rPr>
          <w:rFonts w:cstheme="minorHAnsi"/>
          <w:sz w:val="22"/>
          <w:szCs w:val="22"/>
        </w:rPr>
        <w:t>unity to think differently about problems they are researching.</w:t>
      </w:r>
    </w:p>
    <w:p w14:paraId="61FD141B" w14:textId="3CF4AAF8" w:rsidR="00631135" w:rsidRPr="00616FF4" w:rsidRDefault="009C6592" w:rsidP="00216E7B">
      <w:pPr>
        <w:numPr>
          <w:ilvl w:val="0"/>
          <w:numId w:val="17"/>
        </w:numPr>
        <w:spacing w:line="276" w:lineRule="auto"/>
        <w:rPr>
          <w:rFonts w:cstheme="minorHAnsi"/>
          <w:sz w:val="22"/>
          <w:szCs w:val="22"/>
        </w:rPr>
      </w:pPr>
      <w:r>
        <w:rPr>
          <w:rFonts w:cstheme="minorHAnsi"/>
          <w:sz w:val="22"/>
          <w:szCs w:val="22"/>
        </w:rPr>
        <w:t xml:space="preserve">H. </w:t>
      </w:r>
      <w:proofErr w:type="spellStart"/>
      <w:r>
        <w:rPr>
          <w:rFonts w:cstheme="minorHAnsi"/>
          <w:sz w:val="22"/>
          <w:szCs w:val="22"/>
        </w:rPr>
        <w:t>Blanck</w:t>
      </w:r>
      <w:proofErr w:type="spellEnd"/>
      <w:r>
        <w:rPr>
          <w:rFonts w:cstheme="minorHAnsi"/>
          <w:sz w:val="22"/>
          <w:szCs w:val="22"/>
        </w:rPr>
        <w:t xml:space="preserve">: </w:t>
      </w:r>
      <w:proofErr w:type="spellStart"/>
      <w:r w:rsidR="00DB1BAE">
        <w:rPr>
          <w:rFonts w:cstheme="minorHAnsi"/>
          <w:sz w:val="22"/>
          <w:szCs w:val="22"/>
        </w:rPr>
        <w:t>g</w:t>
      </w:r>
      <w:r w:rsidR="00631135" w:rsidRPr="00616FF4">
        <w:rPr>
          <w:rFonts w:cstheme="minorHAnsi"/>
          <w:sz w:val="22"/>
          <w:szCs w:val="22"/>
        </w:rPr>
        <w:t>rowth</w:t>
      </w:r>
      <w:r w:rsidR="00DB1BAE">
        <w:rPr>
          <w:rFonts w:cstheme="minorHAnsi"/>
          <w:sz w:val="22"/>
          <w:szCs w:val="22"/>
        </w:rPr>
        <w:t>c</w:t>
      </w:r>
      <w:r w:rsidR="00631135" w:rsidRPr="00616FF4">
        <w:rPr>
          <w:rFonts w:cstheme="minorHAnsi"/>
          <w:sz w:val="22"/>
          <w:szCs w:val="22"/>
        </w:rPr>
        <w:t>lean</w:t>
      </w:r>
      <w:r w:rsidR="00DB1BAE">
        <w:rPr>
          <w:rFonts w:cstheme="minorHAnsi"/>
          <w:sz w:val="22"/>
          <w:szCs w:val="22"/>
        </w:rPr>
        <w:t>r</w:t>
      </w:r>
      <w:proofErr w:type="spellEnd"/>
      <w:r w:rsidR="00631135" w:rsidRPr="00616FF4">
        <w:rPr>
          <w:rFonts w:cstheme="minorHAnsi"/>
          <w:sz w:val="22"/>
          <w:szCs w:val="22"/>
        </w:rPr>
        <w:t xml:space="preserve"> for cleaning EHRs for children and adult BMI are available on GitHub</w:t>
      </w:r>
      <w:r w:rsidR="00A16077">
        <w:rPr>
          <w:rFonts w:cstheme="minorHAnsi"/>
          <w:sz w:val="22"/>
          <w:szCs w:val="22"/>
        </w:rPr>
        <w:t>.</w:t>
      </w:r>
    </w:p>
    <w:p w14:paraId="263B316B" w14:textId="46714ABC" w:rsidR="00631135" w:rsidRPr="00616FF4" w:rsidRDefault="009C6592" w:rsidP="00216E7B">
      <w:pPr>
        <w:numPr>
          <w:ilvl w:val="0"/>
          <w:numId w:val="17"/>
        </w:numPr>
        <w:spacing w:line="276" w:lineRule="auto"/>
        <w:rPr>
          <w:rFonts w:cstheme="minorHAnsi"/>
          <w:sz w:val="22"/>
          <w:szCs w:val="22"/>
        </w:rPr>
      </w:pPr>
      <w:r>
        <w:rPr>
          <w:rFonts w:cstheme="minorHAnsi"/>
          <w:sz w:val="22"/>
          <w:szCs w:val="22"/>
        </w:rPr>
        <w:t xml:space="preserve">M. </w:t>
      </w:r>
      <w:proofErr w:type="spellStart"/>
      <w:r>
        <w:rPr>
          <w:rFonts w:cstheme="minorHAnsi"/>
          <w:sz w:val="22"/>
          <w:szCs w:val="22"/>
        </w:rPr>
        <w:t>Abley</w:t>
      </w:r>
      <w:proofErr w:type="spellEnd"/>
      <w:r>
        <w:rPr>
          <w:rFonts w:cstheme="minorHAnsi"/>
          <w:sz w:val="22"/>
          <w:szCs w:val="22"/>
        </w:rPr>
        <w:t xml:space="preserve">: </w:t>
      </w:r>
      <w:r w:rsidR="00E801AB" w:rsidRPr="00E801AB">
        <w:rPr>
          <w:rFonts w:cstheme="minorHAnsi"/>
          <w:sz w:val="22"/>
          <w:szCs w:val="22"/>
        </w:rPr>
        <w:t>Here</w:t>
      </w:r>
      <w:r w:rsidR="00E801AB">
        <w:rPr>
          <w:rFonts w:cstheme="minorHAnsi"/>
          <w:sz w:val="22"/>
          <w:szCs w:val="22"/>
        </w:rPr>
        <w:t xml:space="preserve"> </w:t>
      </w:r>
      <w:r w:rsidR="007564A9">
        <w:rPr>
          <w:rFonts w:cstheme="minorHAnsi"/>
          <w:sz w:val="22"/>
          <w:szCs w:val="22"/>
        </w:rPr>
        <w:t>are</w:t>
      </w:r>
      <w:r>
        <w:rPr>
          <w:rFonts w:cstheme="minorHAnsi"/>
          <w:sz w:val="22"/>
          <w:szCs w:val="22"/>
        </w:rPr>
        <w:t xml:space="preserve"> example</w:t>
      </w:r>
      <w:r w:rsidR="007564A9">
        <w:rPr>
          <w:rFonts w:cstheme="minorHAnsi"/>
          <w:sz w:val="22"/>
          <w:szCs w:val="22"/>
        </w:rPr>
        <w:t>s</w:t>
      </w:r>
      <w:r>
        <w:rPr>
          <w:rFonts w:cstheme="minorHAnsi"/>
          <w:sz w:val="22"/>
          <w:szCs w:val="22"/>
        </w:rPr>
        <w:t xml:space="preserve"> of </w:t>
      </w:r>
      <w:hyperlink r:id="rId39" w:history="1">
        <w:r w:rsidRPr="00E801AB">
          <w:rPr>
            <w:rStyle w:val="Hyperlink"/>
            <w:rFonts w:cstheme="minorHAnsi"/>
            <w:sz w:val="22"/>
            <w:szCs w:val="22"/>
          </w:rPr>
          <w:t xml:space="preserve">USDA </w:t>
        </w:r>
        <w:r w:rsidR="00E801AB" w:rsidRPr="00E801AB">
          <w:rPr>
            <w:rStyle w:val="Hyperlink"/>
            <w:rFonts w:cstheme="minorHAnsi"/>
            <w:sz w:val="22"/>
            <w:szCs w:val="22"/>
          </w:rPr>
          <w:t xml:space="preserve">data </w:t>
        </w:r>
        <w:r w:rsidRPr="00E801AB">
          <w:rPr>
            <w:rStyle w:val="Hyperlink"/>
            <w:rFonts w:cstheme="minorHAnsi"/>
            <w:sz w:val="22"/>
            <w:szCs w:val="22"/>
          </w:rPr>
          <w:t>training</w:t>
        </w:r>
        <w:r w:rsidR="00E801AB" w:rsidRPr="00E801AB">
          <w:rPr>
            <w:rStyle w:val="Hyperlink"/>
            <w:rFonts w:cstheme="minorHAnsi"/>
            <w:sz w:val="22"/>
            <w:szCs w:val="22"/>
          </w:rPr>
          <w:t xml:space="preserve"> webinars</w:t>
        </w:r>
      </w:hyperlink>
      <w:r w:rsidR="00E801AB">
        <w:rPr>
          <w:rFonts w:cstheme="minorHAnsi"/>
          <w:sz w:val="22"/>
          <w:szCs w:val="22"/>
        </w:rPr>
        <w:t xml:space="preserve"> about how to find and use ERS data</w:t>
      </w:r>
      <w:r w:rsidR="00A16077">
        <w:rPr>
          <w:rFonts w:cstheme="minorHAnsi"/>
          <w:sz w:val="22"/>
          <w:szCs w:val="22"/>
        </w:rPr>
        <w:t>.</w:t>
      </w:r>
      <w:r w:rsidR="00631135" w:rsidRPr="00616FF4">
        <w:rPr>
          <w:rFonts w:cstheme="minorHAnsi"/>
          <w:sz w:val="22"/>
          <w:szCs w:val="22"/>
        </w:rPr>
        <w:t xml:space="preserve"> </w:t>
      </w:r>
    </w:p>
    <w:p w14:paraId="144A3FCB" w14:textId="77777777" w:rsidR="00E801AB" w:rsidRDefault="00E801AB" w:rsidP="00216E7B">
      <w:pPr>
        <w:spacing w:line="276" w:lineRule="auto"/>
        <w:rPr>
          <w:rFonts w:cstheme="minorHAnsi"/>
          <w:sz w:val="22"/>
          <w:szCs w:val="22"/>
        </w:rPr>
      </w:pPr>
    </w:p>
    <w:p w14:paraId="47E39782" w14:textId="738E25E0" w:rsidR="00631135" w:rsidRPr="00E801AB" w:rsidRDefault="00631135" w:rsidP="00216E7B">
      <w:pPr>
        <w:spacing w:line="276" w:lineRule="auto"/>
        <w:rPr>
          <w:rFonts w:cstheme="minorHAnsi"/>
          <w:i/>
          <w:iCs/>
          <w:sz w:val="22"/>
          <w:szCs w:val="22"/>
        </w:rPr>
      </w:pPr>
      <w:r w:rsidRPr="00E801AB">
        <w:rPr>
          <w:rFonts w:cstheme="minorHAnsi"/>
          <w:i/>
          <w:iCs/>
          <w:sz w:val="22"/>
          <w:szCs w:val="22"/>
        </w:rPr>
        <w:t>K</w:t>
      </w:r>
      <w:r w:rsidR="00E801AB" w:rsidRPr="00E801AB">
        <w:rPr>
          <w:rFonts w:cstheme="minorHAnsi"/>
          <w:i/>
          <w:iCs/>
          <w:sz w:val="22"/>
          <w:szCs w:val="22"/>
        </w:rPr>
        <w:t>. Hilyard: Has</w:t>
      </w:r>
      <w:r w:rsidRPr="00E801AB">
        <w:rPr>
          <w:rFonts w:cstheme="minorHAnsi"/>
          <w:i/>
          <w:iCs/>
          <w:sz w:val="22"/>
          <w:szCs w:val="22"/>
        </w:rPr>
        <w:t xml:space="preserve"> there been pushback from public or advocacy org</w:t>
      </w:r>
      <w:r w:rsidR="00E801AB" w:rsidRPr="00E801AB">
        <w:rPr>
          <w:rFonts w:cstheme="minorHAnsi"/>
          <w:i/>
          <w:iCs/>
          <w:sz w:val="22"/>
          <w:szCs w:val="22"/>
        </w:rPr>
        <w:t>anizations that</w:t>
      </w:r>
      <w:r w:rsidRPr="00E801AB">
        <w:rPr>
          <w:rFonts w:cstheme="minorHAnsi"/>
          <w:i/>
          <w:iCs/>
          <w:sz w:val="22"/>
          <w:szCs w:val="22"/>
        </w:rPr>
        <w:t xml:space="preserve"> worry about privacy?</w:t>
      </w:r>
    </w:p>
    <w:p w14:paraId="4A7EFE9A" w14:textId="3CD73877" w:rsidR="00697921" w:rsidRDefault="00E801AB" w:rsidP="00216E7B">
      <w:pPr>
        <w:numPr>
          <w:ilvl w:val="0"/>
          <w:numId w:val="17"/>
        </w:numPr>
        <w:spacing w:line="276" w:lineRule="auto"/>
        <w:rPr>
          <w:rFonts w:cstheme="minorHAnsi"/>
          <w:sz w:val="22"/>
          <w:szCs w:val="22"/>
        </w:rPr>
      </w:pPr>
      <w:r>
        <w:rPr>
          <w:rFonts w:cstheme="minorHAnsi"/>
          <w:sz w:val="22"/>
          <w:szCs w:val="22"/>
        </w:rPr>
        <w:t xml:space="preserve">J. McClain: It’s difficult to communicate to prospective All </w:t>
      </w:r>
      <w:proofErr w:type="gramStart"/>
      <w:r>
        <w:rPr>
          <w:rFonts w:cstheme="minorHAnsi"/>
          <w:sz w:val="22"/>
          <w:szCs w:val="22"/>
        </w:rPr>
        <w:t>Of</w:t>
      </w:r>
      <w:proofErr w:type="gramEnd"/>
      <w:r>
        <w:rPr>
          <w:rFonts w:cstheme="minorHAnsi"/>
          <w:sz w:val="22"/>
          <w:szCs w:val="22"/>
        </w:rPr>
        <w:t xml:space="preserve"> Us participants about the value and </w:t>
      </w:r>
      <w:r w:rsidR="00697921">
        <w:rPr>
          <w:rFonts w:cstheme="minorHAnsi"/>
          <w:sz w:val="22"/>
          <w:szCs w:val="22"/>
        </w:rPr>
        <w:t xml:space="preserve">potential </w:t>
      </w:r>
      <w:r>
        <w:rPr>
          <w:rFonts w:cstheme="minorHAnsi"/>
          <w:sz w:val="22"/>
          <w:szCs w:val="22"/>
        </w:rPr>
        <w:t>risk</w:t>
      </w:r>
      <w:r w:rsidR="00697921">
        <w:rPr>
          <w:rFonts w:cstheme="minorHAnsi"/>
          <w:sz w:val="22"/>
          <w:szCs w:val="22"/>
        </w:rPr>
        <w:t>s</w:t>
      </w:r>
      <w:r>
        <w:rPr>
          <w:rFonts w:cstheme="minorHAnsi"/>
          <w:sz w:val="22"/>
          <w:szCs w:val="22"/>
        </w:rPr>
        <w:t xml:space="preserve"> of </w:t>
      </w:r>
      <w:r w:rsidR="00697921">
        <w:rPr>
          <w:rFonts w:cstheme="minorHAnsi"/>
          <w:sz w:val="22"/>
          <w:szCs w:val="22"/>
        </w:rPr>
        <w:t xml:space="preserve">the study in a way that does not discourage their participation. The wide diversity of patients calls for different communication strategies; it would be helpful to </w:t>
      </w:r>
      <w:r w:rsidR="006D5F05">
        <w:rPr>
          <w:rFonts w:cstheme="minorHAnsi"/>
          <w:sz w:val="22"/>
          <w:szCs w:val="22"/>
        </w:rPr>
        <w:t xml:space="preserve">evaluate the effectiveness of various messages and methods. </w:t>
      </w:r>
    </w:p>
    <w:p w14:paraId="64454616" w14:textId="1916B683" w:rsidR="00631135" w:rsidRPr="00616FF4" w:rsidRDefault="006D5F05" w:rsidP="00216E7B">
      <w:pPr>
        <w:numPr>
          <w:ilvl w:val="0"/>
          <w:numId w:val="17"/>
        </w:numPr>
        <w:spacing w:line="276" w:lineRule="auto"/>
        <w:rPr>
          <w:rFonts w:cstheme="minorHAnsi"/>
          <w:sz w:val="22"/>
          <w:szCs w:val="22"/>
        </w:rPr>
      </w:pPr>
      <w:r>
        <w:rPr>
          <w:rFonts w:cstheme="minorHAnsi"/>
          <w:sz w:val="22"/>
          <w:szCs w:val="22"/>
        </w:rPr>
        <w:t xml:space="preserve">G. </w:t>
      </w:r>
      <w:proofErr w:type="spellStart"/>
      <w:r>
        <w:rPr>
          <w:rFonts w:cstheme="minorHAnsi"/>
          <w:sz w:val="22"/>
          <w:szCs w:val="22"/>
        </w:rPr>
        <w:t>Hobor</w:t>
      </w:r>
      <w:proofErr w:type="spellEnd"/>
      <w:r>
        <w:rPr>
          <w:rFonts w:cstheme="minorHAnsi"/>
          <w:sz w:val="22"/>
          <w:szCs w:val="22"/>
        </w:rPr>
        <w:t>: New governance models are emerging such as data trusts and data unions</w:t>
      </w:r>
      <w:r w:rsidR="0024247A">
        <w:rPr>
          <w:rFonts w:cstheme="minorHAnsi"/>
          <w:sz w:val="22"/>
          <w:szCs w:val="22"/>
        </w:rPr>
        <w:t xml:space="preserve">. A key concept in the latter is individual compensation for the data they provide about themselves. </w:t>
      </w:r>
    </w:p>
    <w:p w14:paraId="08311037" w14:textId="77777777" w:rsidR="0024247A" w:rsidRDefault="0024247A" w:rsidP="00216E7B">
      <w:pPr>
        <w:spacing w:line="276" w:lineRule="auto"/>
        <w:rPr>
          <w:rFonts w:cstheme="minorHAnsi"/>
          <w:sz w:val="22"/>
          <w:szCs w:val="22"/>
        </w:rPr>
      </w:pPr>
    </w:p>
    <w:p w14:paraId="509EA8A9" w14:textId="596D5210" w:rsidR="00631135" w:rsidRPr="0024247A" w:rsidRDefault="0024247A" w:rsidP="00216E7B">
      <w:pPr>
        <w:spacing w:line="276" w:lineRule="auto"/>
        <w:rPr>
          <w:rFonts w:cstheme="minorHAnsi"/>
        </w:rPr>
      </w:pPr>
      <w:r w:rsidRPr="0024247A">
        <w:rPr>
          <w:rFonts w:cstheme="minorHAnsi"/>
          <w:i/>
          <w:iCs/>
          <w:sz w:val="22"/>
          <w:szCs w:val="22"/>
        </w:rPr>
        <w:t>K.</w:t>
      </w:r>
      <w:r w:rsidR="00366635">
        <w:rPr>
          <w:rFonts w:cstheme="minorHAnsi"/>
          <w:i/>
          <w:iCs/>
          <w:sz w:val="22"/>
          <w:szCs w:val="22"/>
        </w:rPr>
        <w:t xml:space="preserve"> </w:t>
      </w:r>
      <w:r w:rsidRPr="0024247A">
        <w:rPr>
          <w:rFonts w:cstheme="minorHAnsi"/>
          <w:i/>
          <w:iCs/>
          <w:sz w:val="22"/>
          <w:szCs w:val="22"/>
        </w:rPr>
        <w:t xml:space="preserve">Hilyard: </w:t>
      </w:r>
      <w:r w:rsidR="00631135" w:rsidRPr="0024247A">
        <w:rPr>
          <w:rFonts w:cstheme="minorHAnsi"/>
          <w:i/>
          <w:iCs/>
          <w:sz w:val="22"/>
          <w:szCs w:val="22"/>
        </w:rPr>
        <w:t xml:space="preserve">To what extent </w:t>
      </w:r>
      <w:r w:rsidRPr="0024247A">
        <w:rPr>
          <w:rFonts w:cstheme="minorHAnsi"/>
          <w:i/>
          <w:iCs/>
          <w:sz w:val="22"/>
          <w:szCs w:val="22"/>
        </w:rPr>
        <w:t>are your o</w:t>
      </w:r>
      <w:r>
        <w:rPr>
          <w:rFonts w:cstheme="minorHAnsi"/>
          <w:i/>
          <w:iCs/>
          <w:sz w:val="22"/>
          <w:szCs w:val="22"/>
        </w:rPr>
        <w:t>r</w:t>
      </w:r>
      <w:r w:rsidRPr="0024247A">
        <w:rPr>
          <w:rFonts w:cstheme="minorHAnsi"/>
          <w:i/>
          <w:iCs/>
          <w:sz w:val="22"/>
          <w:szCs w:val="22"/>
        </w:rPr>
        <w:t>ganizations</w:t>
      </w:r>
      <w:r w:rsidR="00631135" w:rsidRPr="0024247A">
        <w:rPr>
          <w:rFonts w:cstheme="minorHAnsi"/>
          <w:i/>
          <w:iCs/>
          <w:sz w:val="22"/>
          <w:szCs w:val="22"/>
        </w:rPr>
        <w:t xml:space="preserve"> working with private IT companies </w:t>
      </w:r>
      <w:r w:rsidRPr="0024247A">
        <w:rPr>
          <w:rFonts w:cstheme="minorHAnsi"/>
          <w:i/>
          <w:iCs/>
          <w:sz w:val="22"/>
          <w:szCs w:val="22"/>
        </w:rPr>
        <w:t xml:space="preserve">(e.g., Google, Amazon) </w:t>
      </w:r>
      <w:r w:rsidR="00631135" w:rsidRPr="0024247A">
        <w:rPr>
          <w:rFonts w:cstheme="minorHAnsi"/>
          <w:i/>
          <w:iCs/>
          <w:sz w:val="22"/>
          <w:szCs w:val="22"/>
        </w:rPr>
        <w:t>and their data modernization innovations?</w:t>
      </w:r>
      <w:r w:rsidR="00631135" w:rsidRPr="0024247A">
        <w:rPr>
          <w:rFonts w:cstheme="minorHAnsi"/>
          <w:sz w:val="22"/>
          <w:szCs w:val="22"/>
        </w:rPr>
        <w:t xml:space="preserve"> </w:t>
      </w:r>
    </w:p>
    <w:p w14:paraId="5C28F29C" w14:textId="77777777" w:rsidR="00091C35" w:rsidRDefault="00366635" w:rsidP="00216E7B">
      <w:pPr>
        <w:numPr>
          <w:ilvl w:val="0"/>
          <w:numId w:val="17"/>
        </w:numPr>
        <w:spacing w:line="276" w:lineRule="auto"/>
        <w:rPr>
          <w:rFonts w:cstheme="minorHAnsi"/>
          <w:sz w:val="22"/>
          <w:szCs w:val="22"/>
        </w:rPr>
      </w:pPr>
      <w:r>
        <w:rPr>
          <w:rFonts w:cstheme="minorHAnsi"/>
          <w:sz w:val="22"/>
          <w:szCs w:val="22"/>
        </w:rPr>
        <w:t xml:space="preserve">J. McClain: </w:t>
      </w:r>
      <w:r w:rsidR="00631135" w:rsidRPr="00616FF4">
        <w:rPr>
          <w:rFonts w:cstheme="minorHAnsi"/>
          <w:sz w:val="22"/>
          <w:szCs w:val="22"/>
        </w:rPr>
        <w:t xml:space="preserve">NIH is </w:t>
      </w:r>
      <w:r w:rsidR="00D10F0A">
        <w:rPr>
          <w:rFonts w:cstheme="minorHAnsi"/>
          <w:sz w:val="22"/>
          <w:szCs w:val="22"/>
        </w:rPr>
        <w:t>moving</w:t>
      </w:r>
      <w:r w:rsidR="00631135" w:rsidRPr="00616FF4">
        <w:rPr>
          <w:rFonts w:cstheme="minorHAnsi"/>
          <w:sz w:val="22"/>
          <w:szCs w:val="22"/>
        </w:rPr>
        <w:t xml:space="preserve"> to cloud</w:t>
      </w:r>
      <w:r w:rsidR="00D10F0A">
        <w:rPr>
          <w:rFonts w:cstheme="minorHAnsi"/>
          <w:sz w:val="22"/>
          <w:szCs w:val="22"/>
        </w:rPr>
        <w:t>-based</w:t>
      </w:r>
      <w:r w:rsidR="00631135" w:rsidRPr="00616FF4">
        <w:rPr>
          <w:rFonts w:cstheme="minorHAnsi"/>
          <w:sz w:val="22"/>
          <w:szCs w:val="22"/>
        </w:rPr>
        <w:t xml:space="preserve"> portfolio</w:t>
      </w:r>
      <w:r w:rsidR="00D10F0A">
        <w:rPr>
          <w:rFonts w:cstheme="minorHAnsi"/>
          <w:sz w:val="22"/>
          <w:szCs w:val="22"/>
        </w:rPr>
        <w:t>s</w:t>
      </w:r>
      <w:r w:rsidR="00631135" w:rsidRPr="00616FF4">
        <w:rPr>
          <w:rFonts w:cstheme="minorHAnsi"/>
          <w:sz w:val="22"/>
          <w:szCs w:val="22"/>
        </w:rPr>
        <w:t xml:space="preserve"> of resources, assets, etc.</w:t>
      </w:r>
      <w:r w:rsidR="00D10F0A">
        <w:rPr>
          <w:rFonts w:cstheme="minorHAnsi"/>
          <w:sz w:val="22"/>
          <w:szCs w:val="22"/>
        </w:rPr>
        <w:t>,</w:t>
      </w:r>
      <w:r w:rsidR="00631135" w:rsidRPr="00616FF4">
        <w:rPr>
          <w:rFonts w:cstheme="minorHAnsi"/>
          <w:sz w:val="22"/>
          <w:szCs w:val="22"/>
        </w:rPr>
        <w:t xml:space="preserve"> leveraging the best resources </w:t>
      </w:r>
      <w:r w:rsidR="00D10F0A">
        <w:rPr>
          <w:rFonts w:cstheme="minorHAnsi"/>
          <w:sz w:val="22"/>
          <w:szCs w:val="22"/>
        </w:rPr>
        <w:t>possible</w:t>
      </w:r>
      <w:r w:rsidR="00631135" w:rsidRPr="00616FF4">
        <w:rPr>
          <w:rFonts w:cstheme="minorHAnsi"/>
          <w:sz w:val="22"/>
          <w:szCs w:val="22"/>
        </w:rPr>
        <w:t xml:space="preserve"> from both those companies a</w:t>
      </w:r>
      <w:r w:rsidR="00D10F0A">
        <w:rPr>
          <w:rFonts w:cstheme="minorHAnsi"/>
          <w:sz w:val="22"/>
          <w:szCs w:val="22"/>
        </w:rPr>
        <w:t>s well as learnings from</w:t>
      </w:r>
      <w:r w:rsidR="00631135" w:rsidRPr="00616FF4">
        <w:rPr>
          <w:rFonts w:cstheme="minorHAnsi"/>
          <w:sz w:val="22"/>
          <w:szCs w:val="22"/>
        </w:rPr>
        <w:t xml:space="preserve"> researchers </w:t>
      </w:r>
      <w:r w:rsidR="00D10F0A">
        <w:rPr>
          <w:rFonts w:cstheme="minorHAnsi"/>
          <w:sz w:val="22"/>
          <w:szCs w:val="22"/>
        </w:rPr>
        <w:t xml:space="preserve">who are </w:t>
      </w:r>
      <w:r w:rsidR="00631135" w:rsidRPr="00616FF4">
        <w:rPr>
          <w:rFonts w:cstheme="minorHAnsi"/>
          <w:sz w:val="22"/>
          <w:szCs w:val="22"/>
        </w:rPr>
        <w:t xml:space="preserve">advancing privacy in that space. </w:t>
      </w:r>
      <w:r w:rsidR="00D10F0A">
        <w:rPr>
          <w:rFonts w:cstheme="minorHAnsi"/>
          <w:sz w:val="22"/>
          <w:szCs w:val="22"/>
        </w:rPr>
        <w:t>L</w:t>
      </w:r>
      <w:r w:rsidR="00631135" w:rsidRPr="00616FF4">
        <w:rPr>
          <w:rFonts w:cstheme="minorHAnsi"/>
          <w:sz w:val="22"/>
          <w:szCs w:val="22"/>
        </w:rPr>
        <w:t>arge</w:t>
      </w:r>
      <w:r w:rsidR="00D10F0A">
        <w:rPr>
          <w:rFonts w:cstheme="minorHAnsi"/>
          <w:sz w:val="22"/>
          <w:szCs w:val="22"/>
        </w:rPr>
        <w:t>-</w:t>
      </w:r>
      <w:r w:rsidR="00631135" w:rsidRPr="00616FF4">
        <w:rPr>
          <w:rFonts w:cstheme="minorHAnsi"/>
          <w:sz w:val="22"/>
          <w:szCs w:val="22"/>
        </w:rPr>
        <w:t>scale rese</w:t>
      </w:r>
      <w:r w:rsidR="00D10F0A">
        <w:rPr>
          <w:rFonts w:cstheme="minorHAnsi"/>
          <w:sz w:val="22"/>
          <w:szCs w:val="22"/>
        </w:rPr>
        <w:t>a</w:t>
      </w:r>
      <w:r w:rsidR="00631135" w:rsidRPr="00616FF4">
        <w:rPr>
          <w:rFonts w:cstheme="minorHAnsi"/>
          <w:sz w:val="22"/>
          <w:szCs w:val="22"/>
        </w:rPr>
        <w:t xml:space="preserve">rch </w:t>
      </w:r>
      <w:r w:rsidR="00D10F0A">
        <w:rPr>
          <w:rFonts w:cstheme="minorHAnsi"/>
          <w:sz w:val="22"/>
          <w:szCs w:val="22"/>
        </w:rPr>
        <w:t>implementation has</w:t>
      </w:r>
      <w:r w:rsidR="00631135" w:rsidRPr="00616FF4">
        <w:rPr>
          <w:rFonts w:cstheme="minorHAnsi"/>
          <w:sz w:val="22"/>
          <w:szCs w:val="22"/>
        </w:rPr>
        <w:t xml:space="preserve"> </w:t>
      </w:r>
      <w:r w:rsidR="00184FE3">
        <w:rPr>
          <w:rFonts w:cstheme="minorHAnsi"/>
          <w:sz w:val="22"/>
          <w:szCs w:val="22"/>
        </w:rPr>
        <w:t xml:space="preserve">advanced progress to adopt </w:t>
      </w:r>
      <w:r w:rsidR="00091C35">
        <w:rPr>
          <w:rFonts w:cstheme="minorHAnsi"/>
          <w:sz w:val="22"/>
          <w:szCs w:val="22"/>
        </w:rPr>
        <w:t xml:space="preserve">stronger </w:t>
      </w:r>
      <w:r w:rsidR="00631135" w:rsidRPr="00616FF4">
        <w:rPr>
          <w:rFonts w:cstheme="minorHAnsi"/>
          <w:sz w:val="22"/>
          <w:szCs w:val="22"/>
        </w:rPr>
        <w:t>federalized standard</w:t>
      </w:r>
      <w:r w:rsidR="00091C35">
        <w:rPr>
          <w:rFonts w:cstheme="minorHAnsi"/>
          <w:sz w:val="22"/>
          <w:szCs w:val="22"/>
        </w:rPr>
        <w:t>s</w:t>
      </w:r>
      <w:r w:rsidR="00631135" w:rsidRPr="00616FF4">
        <w:rPr>
          <w:rFonts w:cstheme="minorHAnsi"/>
          <w:sz w:val="22"/>
          <w:szCs w:val="22"/>
        </w:rPr>
        <w:t xml:space="preserve"> for privacy</w:t>
      </w:r>
      <w:r w:rsidR="00091C35">
        <w:rPr>
          <w:rFonts w:cstheme="minorHAnsi"/>
          <w:sz w:val="22"/>
          <w:szCs w:val="22"/>
        </w:rPr>
        <w:t>,</w:t>
      </w:r>
      <w:r w:rsidR="00631135" w:rsidRPr="00616FF4">
        <w:rPr>
          <w:rFonts w:cstheme="minorHAnsi"/>
          <w:sz w:val="22"/>
          <w:szCs w:val="22"/>
        </w:rPr>
        <w:t xml:space="preserve"> security</w:t>
      </w:r>
      <w:r w:rsidR="00091C35">
        <w:rPr>
          <w:rFonts w:cstheme="minorHAnsi"/>
          <w:sz w:val="22"/>
          <w:szCs w:val="22"/>
        </w:rPr>
        <w:t xml:space="preserve">, and compliance of data systems. </w:t>
      </w:r>
    </w:p>
    <w:p w14:paraId="5F6859B4" w14:textId="77777777" w:rsidR="005E1CC3" w:rsidRDefault="00091C35" w:rsidP="00216E7B">
      <w:pPr>
        <w:numPr>
          <w:ilvl w:val="0"/>
          <w:numId w:val="17"/>
        </w:numPr>
        <w:spacing w:line="276" w:lineRule="auto"/>
        <w:rPr>
          <w:rFonts w:cstheme="minorHAnsi"/>
          <w:sz w:val="22"/>
          <w:szCs w:val="22"/>
        </w:rPr>
      </w:pPr>
      <w:r>
        <w:rPr>
          <w:rFonts w:cstheme="minorHAnsi"/>
          <w:sz w:val="22"/>
          <w:szCs w:val="22"/>
        </w:rPr>
        <w:t xml:space="preserve">G. </w:t>
      </w:r>
      <w:proofErr w:type="spellStart"/>
      <w:r>
        <w:rPr>
          <w:rFonts w:cstheme="minorHAnsi"/>
          <w:sz w:val="22"/>
          <w:szCs w:val="22"/>
        </w:rPr>
        <w:t>Hobor</w:t>
      </w:r>
      <w:proofErr w:type="spellEnd"/>
      <w:r>
        <w:rPr>
          <w:rFonts w:cstheme="minorHAnsi"/>
          <w:sz w:val="22"/>
          <w:szCs w:val="22"/>
        </w:rPr>
        <w:t>: These companies offer analytics and storage, for example, it would be helpful if they offered data sharing. Smaller IT companies have partnered with academia on projects that examine</w:t>
      </w:r>
      <w:r w:rsidR="005E1CC3">
        <w:rPr>
          <w:rFonts w:cstheme="minorHAnsi"/>
          <w:sz w:val="22"/>
          <w:szCs w:val="22"/>
        </w:rPr>
        <w:t>d</w:t>
      </w:r>
      <w:r>
        <w:rPr>
          <w:rFonts w:cstheme="minorHAnsi"/>
          <w:sz w:val="22"/>
          <w:szCs w:val="22"/>
        </w:rPr>
        <w:t xml:space="preserve"> social media data to analyze sentiment on </w:t>
      </w:r>
      <w:r w:rsidR="005E1CC3">
        <w:rPr>
          <w:rFonts w:cstheme="minorHAnsi"/>
          <w:sz w:val="22"/>
          <w:szCs w:val="22"/>
        </w:rPr>
        <w:t>mask mandates</w:t>
      </w:r>
      <w:r>
        <w:rPr>
          <w:rFonts w:cstheme="minorHAnsi"/>
          <w:sz w:val="22"/>
          <w:szCs w:val="22"/>
        </w:rPr>
        <w:t xml:space="preserve"> and suggest strategies to improve uptake</w:t>
      </w:r>
      <w:r w:rsidR="005E1CC3">
        <w:rPr>
          <w:rFonts w:cstheme="minorHAnsi"/>
          <w:sz w:val="22"/>
          <w:szCs w:val="22"/>
        </w:rPr>
        <w:t>/acceptance</w:t>
      </w:r>
      <w:r>
        <w:rPr>
          <w:rFonts w:cstheme="minorHAnsi"/>
          <w:sz w:val="22"/>
          <w:szCs w:val="22"/>
        </w:rPr>
        <w:t xml:space="preserve">, for </w:t>
      </w:r>
      <w:proofErr w:type="gramStart"/>
      <w:r>
        <w:rPr>
          <w:rFonts w:cstheme="minorHAnsi"/>
          <w:sz w:val="22"/>
          <w:szCs w:val="22"/>
        </w:rPr>
        <w:t>example;</w:t>
      </w:r>
      <w:proofErr w:type="gramEnd"/>
      <w:r>
        <w:rPr>
          <w:rFonts w:cstheme="minorHAnsi"/>
          <w:sz w:val="22"/>
          <w:szCs w:val="22"/>
        </w:rPr>
        <w:t xml:space="preserve"> </w:t>
      </w:r>
      <w:r w:rsidR="005E1CC3">
        <w:rPr>
          <w:rFonts w:cstheme="minorHAnsi"/>
          <w:sz w:val="22"/>
          <w:szCs w:val="22"/>
        </w:rPr>
        <w:t>more collaboration like this could be done.</w:t>
      </w:r>
    </w:p>
    <w:p w14:paraId="49029990" w14:textId="19FF9DA2" w:rsidR="00631135" w:rsidRPr="005E1CC3" w:rsidRDefault="005E1CC3" w:rsidP="00216E7B">
      <w:pPr>
        <w:numPr>
          <w:ilvl w:val="0"/>
          <w:numId w:val="17"/>
        </w:numPr>
        <w:spacing w:line="276" w:lineRule="auto"/>
        <w:rPr>
          <w:rFonts w:cstheme="minorHAnsi"/>
          <w:sz w:val="22"/>
          <w:szCs w:val="22"/>
        </w:rPr>
      </w:pPr>
      <w:r>
        <w:rPr>
          <w:rFonts w:cstheme="minorHAnsi"/>
          <w:sz w:val="22"/>
          <w:szCs w:val="22"/>
        </w:rPr>
        <w:t xml:space="preserve">D. Galuska: </w:t>
      </w:r>
      <w:r w:rsidR="00C15559">
        <w:rPr>
          <w:rFonts w:cstheme="minorHAnsi"/>
          <w:sz w:val="22"/>
          <w:szCs w:val="22"/>
        </w:rPr>
        <w:t xml:space="preserve">These companies can be partners in answering questions instead of merely providers of data; the government does not have to be the recipient of the data from these companies. </w:t>
      </w:r>
    </w:p>
    <w:p w14:paraId="03C9F957" w14:textId="114FB753" w:rsidR="00631135" w:rsidRPr="00616FF4" w:rsidRDefault="00C15559" w:rsidP="00216E7B">
      <w:pPr>
        <w:numPr>
          <w:ilvl w:val="0"/>
          <w:numId w:val="17"/>
        </w:numPr>
        <w:spacing w:line="276" w:lineRule="auto"/>
        <w:rPr>
          <w:rFonts w:cstheme="minorHAnsi"/>
          <w:sz w:val="22"/>
          <w:szCs w:val="22"/>
        </w:rPr>
      </w:pPr>
      <w:r>
        <w:rPr>
          <w:rFonts w:cstheme="minorHAnsi"/>
          <w:sz w:val="22"/>
          <w:szCs w:val="22"/>
        </w:rPr>
        <w:t xml:space="preserve">M. Ehmke: </w:t>
      </w:r>
      <w:r w:rsidR="002D3BC3">
        <w:rPr>
          <w:rFonts w:cstheme="minorHAnsi"/>
          <w:sz w:val="22"/>
          <w:szCs w:val="22"/>
        </w:rPr>
        <w:t>Amazon Mechanical Turk</w:t>
      </w:r>
      <w:r>
        <w:rPr>
          <w:rFonts w:cstheme="minorHAnsi"/>
          <w:sz w:val="22"/>
          <w:szCs w:val="22"/>
        </w:rPr>
        <w:t xml:space="preserve"> </w:t>
      </w:r>
      <w:r w:rsidR="002D3BC3">
        <w:rPr>
          <w:rFonts w:cstheme="minorHAnsi"/>
          <w:sz w:val="22"/>
          <w:szCs w:val="22"/>
        </w:rPr>
        <w:t>(</w:t>
      </w:r>
      <w:proofErr w:type="spellStart"/>
      <w:r w:rsidR="002842D9">
        <w:fldChar w:fldCharType="begin"/>
      </w:r>
      <w:r w:rsidR="002842D9">
        <w:instrText>HYPERLINK "https://www.mturk.com/"</w:instrText>
      </w:r>
      <w:r w:rsidR="002842D9">
        <w:fldChar w:fldCharType="separate"/>
      </w:r>
      <w:r w:rsidR="00631135" w:rsidRPr="00DA5475">
        <w:rPr>
          <w:rStyle w:val="Hyperlink"/>
          <w:rFonts w:cstheme="minorHAnsi"/>
          <w:sz w:val="22"/>
          <w:szCs w:val="22"/>
        </w:rPr>
        <w:t>MTurk</w:t>
      </w:r>
      <w:proofErr w:type="spellEnd"/>
      <w:r w:rsidR="002842D9">
        <w:rPr>
          <w:rStyle w:val="Hyperlink"/>
          <w:rFonts w:cstheme="minorHAnsi"/>
          <w:sz w:val="22"/>
          <w:szCs w:val="22"/>
        </w:rPr>
        <w:fldChar w:fldCharType="end"/>
      </w:r>
      <w:r w:rsidR="002D3BC3">
        <w:rPr>
          <w:rFonts w:cstheme="minorHAnsi"/>
          <w:sz w:val="22"/>
          <w:szCs w:val="22"/>
        </w:rPr>
        <w:t>)</w:t>
      </w:r>
      <w:r w:rsidR="00631135" w:rsidRPr="00616FF4">
        <w:rPr>
          <w:rFonts w:cstheme="minorHAnsi"/>
          <w:sz w:val="22"/>
          <w:szCs w:val="22"/>
        </w:rPr>
        <w:t xml:space="preserve"> is an Amazon service many economists (academic mainly) are using to study purchasing practices and implement some information experiments. </w:t>
      </w:r>
    </w:p>
    <w:p w14:paraId="7C5CFEA8" w14:textId="77777777" w:rsidR="00631135" w:rsidRPr="00616FF4" w:rsidRDefault="00631135" w:rsidP="00216E7B">
      <w:pPr>
        <w:spacing w:line="276" w:lineRule="auto"/>
        <w:rPr>
          <w:rFonts w:cstheme="minorHAnsi"/>
          <w:b/>
          <w:bCs/>
          <w:sz w:val="22"/>
          <w:szCs w:val="22"/>
        </w:rPr>
      </w:pPr>
    </w:p>
    <w:p w14:paraId="165DC9B1" w14:textId="77777777" w:rsidR="00DD6D4A" w:rsidRPr="00616FF4" w:rsidRDefault="00DD6D4A" w:rsidP="00216E7B">
      <w:pPr>
        <w:spacing w:line="276" w:lineRule="auto"/>
        <w:rPr>
          <w:rFonts w:eastAsia="Calibri" w:cstheme="minorHAnsi"/>
          <w:color w:val="000000" w:themeColor="text1"/>
          <w:sz w:val="22"/>
          <w:szCs w:val="22"/>
        </w:rPr>
      </w:pPr>
      <w:r w:rsidRPr="00616FF4">
        <w:rPr>
          <w:rFonts w:eastAsia="Calibri" w:cstheme="minorHAnsi"/>
          <w:b/>
          <w:bCs/>
          <w:color w:val="000000" w:themeColor="text1"/>
          <w:sz w:val="22"/>
          <w:szCs w:val="22"/>
        </w:rPr>
        <w:lastRenderedPageBreak/>
        <w:t>Panel: Data Modernization Related to Childhood Obesity</w:t>
      </w:r>
    </w:p>
    <w:p w14:paraId="270F46CC" w14:textId="77777777" w:rsidR="00DD6D4A" w:rsidRPr="00616FF4" w:rsidRDefault="00DD6D4A" w:rsidP="00216E7B">
      <w:pPr>
        <w:spacing w:line="276" w:lineRule="auto"/>
        <w:rPr>
          <w:rFonts w:eastAsia="Calibri" w:cstheme="minorHAnsi"/>
          <w:color w:val="000000" w:themeColor="text1"/>
          <w:sz w:val="22"/>
          <w:szCs w:val="22"/>
        </w:rPr>
      </w:pPr>
      <w:r w:rsidRPr="00616FF4">
        <w:rPr>
          <w:rFonts w:eastAsia="Calibri" w:cstheme="minorHAnsi"/>
          <w:b/>
          <w:bCs/>
          <w:color w:val="000000" w:themeColor="text1"/>
          <w:sz w:val="22"/>
          <w:szCs w:val="22"/>
        </w:rPr>
        <w:t>Moderator:</w:t>
      </w:r>
      <w:r w:rsidRPr="00616FF4">
        <w:rPr>
          <w:rFonts w:eastAsia="Calibri" w:cstheme="minorHAnsi"/>
          <w:color w:val="000000" w:themeColor="text1"/>
          <w:sz w:val="22"/>
          <w:szCs w:val="22"/>
        </w:rPr>
        <w:t xml:space="preserve"> Karen Hilyard, </w:t>
      </w:r>
      <w:r w:rsidRPr="00616FF4">
        <w:rPr>
          <w:rFonts w:eastAsia="Calibri" w:cstheme="minorHAnsi"/>
          <w:i/>
          <w:iCs/>
          <w:color w:val="000000" w:themeColor="text1"/>
          <w:sz w:val="22"/>
          <w:szCs w:val="22"/>
        </w:rPr>
        <w:t>NCCOR Coordinating Center</w:t>
      </w:r>
    </w:p>
    <w:p w14:paraId="101BBC21" w14:textId="77777777" w:rsidR="00DD6D4A" w:rsidRPr="00616FF4" w:rsidRDefault="00DD6D4A" w:rsidP="00216E7B">
      <w:pPr>
        <w:spacing w:line="276" w:lineRule="auto"/>
        <w:rPr>
          <w:rFonts w:cstheme="minorHAnsi"/>
          <w:i/>
          <w:iCs/>
          <w:color w:val="000000" w:themeColor="text1"/>
          <w:sz w:val="22"/>
          <w:szCs w:val="22"/>
        </w:rPr>
      </w:pPr>
    </w:p>
    <w:p w14:paraId="130D046D" w14:textId="431636D6" w:rsidR="00DD6D4A" w:rsidRPr="00616FF4" w:rsidRDefault="00714C7B" w:rsidP="00216E7B">
      <w:pPr>
        <w:spacing w:line="276" w:lineRule="auto"/>
        <w:rPr>
          <w:rFonts w:cstheme="minorHAnsi"/>
          <w:color w:val="000000" w:themeColor="text1"/>
          <w:sz w:val="22"/>
          <w:szCs w:val="22"/>
          <w:u w:val="single"/>
        </w:rPr>
      </w:pPr>
      <w:hyperlink r:id="rId40" w:history="1">
        <w:r w:rsidR="00DD6D4A" w:rsidRPr="000C58A9">
          <w:rPr>
            <w:rStyle w:val="Hyperlink"/>
            <w:rFonts w:cstheme="minorHAnsi"/>
            <w:sz w:val="22"/>
            <w:szCs w:val="22"/>
          </w:rPr>
          <w:t>Disparities in Weight Change in Youth During the COVID-19 Related Lockdown</w:t>
        </w:r>
      </w:hyperlink>
    </w:p>
    <w:p w14:paraId="756F732E" w14:textId="6B3569BF" w:rsidR="00DD6D4A" w:rsidRDefault="00DD6D4A" w:rsidP="00216E7B">
      <w:pPr>
        <w:spacing w:line="276" w:lineRule="auto"/>
        <w:contextualSpacing/>
        <w:rPr>
          <w:rFonts w:eastAsia="Calibri" w:cstheme="minorHAnsi"/>
          <w:color w:val="000000" w:themeColor="text1"/>
          <w:sz w:val="22"/>
          <w:szCs w:val="22"/>
        </w:rPr>
      </w:pPr>
      <w:r w:rsidRPr="00616FF4">
        <w:rPr>
          <w:rFonts w:eastAsia="Calibri" w:cstheme="minorHAnsi"/>
          <w:color w:val="000000" w:themeColor="text1"/>
          <w:sz w:val="22"/>
          <w:szCs w:val="22"/>
        </w:rPr>
        <w:t xml:space="preserve">S. Woolford and C. </w:t>
      </w:r>
      <w:proofErr w:type="spellStart"/>
      <w:r w:rsidRPr="00616FF4">
        <w:rPr>
          <w:rFonts w:eastAsia="Calibri" w:cstheme="minorHAnsi"/>
          <w:color w:val="000000" w:themeColor="text1"/>
          <w:sz w:val="22"/>
          <w:szCs w:val="22"/>
        </w:rPr>
        <w:t>Koebnick</w:t>
      </w:r>
      <w:proofErr w:type="spellEnd"/>
      <w:r w:rsidRPr="00616FF4">
        <w:rPr>
          <w:rFonts w:eastAsia="Calibri" w:cstheme="minorHAnsi"/>
          <w:color w:val="000000" w:themeColor="text1"/>
          <w:sz w:val="22"/>
          <w:szCs w:val="22"/>
        </w:rPr>
        <w:t xml:space="preserve"> presented their collaborative research effort on disparities in weight change among youth during the COVID-19 related lockdown. </w:t>
      </w:r>
    </w:p>
    <w:p w14:paraId="33D26DDB" w14:textId="77777777" w:rsidR="00616FF4" w:rsidRPr="005531D8" w:rsidRDefault="00616FF4" w:rsidP="00216E7B">
      <w:pPr>
        <w:spacing w:line="276" w:lineRule="auto"/>
        <w:contextualSpacing/>
        <w:rPr>
          <w:rFonts w:eastAsia="Calibri" w:cstheme="minorHAnsi"/>
          <w:color w:val="000000" w:themeColor="text1"/>
          <w:sz w:val="16"/>
          <w:szCs w:val="16"/>
        </w:rPr>
      </w:pPr>
    </w:p>
    <w:p w14:paraId="7EE2F8C2" w14:textId="507F3953" w:rsidR="00DD6D4A" w:rsidRPr="00616FF4" w:rsidRDefault="00DD6D4A" w:rsidP="00216E7B">
      <w:pPr>
        <w:pStyle w:val="ListParagraph"/>
        <w:numPr>
          <w:ilvl w:val="0"/>
          <w:numId w:val="18"/>
        </w:numPr>
        <w:spacing w:after="0"/>
        <w:rPr>
          <w:rFonts w:cstheme="minorHAnsi"/>
          <w:color w:val="000000" w:themeColor="text1"/>
        </w:rPr>
      </w:pPr>
      <w:r w:rsidRPr="00616FF4">
        <w:rPr>
          <w:rFonts w:cstheme="minorHAnsi"/>
          <w:i/>
          <w:iCs/>
          <w:color w:val="000000" w:themeColor="text1"/>
        </w:rPr>
        <w:t>Background:</w:t>
      </w:r>
      <w:r w:rsidRPr="00616FF4">
        <w:rPr>
          <w:rFonts w:cstheme="minorHAnsi"/>
          <w:color w:val="000000" w:themeColor="text1"/>
        </w:rPr>
        <w:t xml:space="preserve"> Growth charts at the University of Michigan suggested that youth were gaining weight</w:t>
      </w:r>
      <w:r w:rsidR="005E1EC1">
        <w:rPr>
          <w:rFonts w:cstheme="minorHAnsi"/>
          <w:color w:val="000000" w:themeColor="text1"/>
        </w:rPr>
        <w:t xml:space="preserve"> during the pandemic</w:t>
      </w:r>
      <w:r w:rsidRPr="00616FF4">
        <w:rPr>
          <w:rFonts w:cstheme="minorHAnsi"/>
          <w:color w:val="000000" w:themeColor="text1"/>
        </w:rPr>
        <w:t xml:space="preserve"> at faster than usual rate</w:t>
      </w:r>
      <w:r w:rsidR="005E1EC1">
        <w:rPr>
          <w:rFonts w:cstheme="minorHAnsi"/>
          <w:color w:val="000000" w:themeColor="text1"/>
        </w:rPr>
        <w:t>s</w:t>
      </w:r>
      <w:r w:rsidRPr="00616FF4">
        <w:rPr>
          <w:rFonts w:cstheme="minorHAnsi"/>
          <w:color w:val="000000" w:themeColor="text1"/>
        </w:rPr>
        <w:t xml:space="preserve">, so researchers collaborated with colleagues at Kaiser Permanente </w:t>
      </w:r>
      <w:proofErr w:type="gramStart"/>
      <w:r w:rsidRPr="00616FF4">
        <w:rPr>
          <w:rFonts w:cstheme="minorHAnsi"/>
          <w:color w:val="000000" w:themeColor="text1"/>
        </w:rPr>
        <w:t>in order to</w:t>
      </w:r>
      <w:proofErr w:type="gramEnd"/>
      <w:r w:rsidRPr="00616FF4">
        <w:rPr>
          <w:rFonts w:cstheme="minorHAnsi"/>
          <w:color w:val="000000" w:themeColor="text1"/>
        </w:rPr>
        <w:t xml:space="preserve"> </w:t>
      </w:r>
      <w:r w:rsidR="001775B5" w:rsidRPr="00616FF4">
        <w:rPr>
          <w:rFonts w:cstheme="minorHAnsi"/>
          <w:color w:val="000000" w:themeColor="text1"/>
        </w:rPr>
        <w:t xml:space="preserve">access a diverse sample to examine this observation. </w:t>
      </w:r>
    </w:p>
    <w:p w14:paraId="30568260" w14:textId="543AB9BA" w:rsidR="003641D7" w:rsidRPr="00616FF4" w:rsidRDefault="00BF409E" w:rsidP="00216E7B">
      <w:pPr>
        <w:pStyle w:val="ListParagraph"/>
        <w:numPr>
          <w:ilvl w:val="0"/>
          <w:numId w:val="6"/>
        </w:numPr>
        <w:spacing w:after="0"/>
        <w:rPr>
          <w:rFonts w:cstheme="minorHAnsi"/>
        </w:rPr>
      </w:pPr>
      <w:r w:rsidRPr="00616FF4">
        <w:rPr>
          <w:rFonts w:cstheme="minorHAnsi"/>
          <w:i/>
          <w:iCs/>
        </w:rPr>
        <w:t xml:space="preserve">Methods: </w:t>
      </w:r>
      <w:r w:rsidR="001775B5" w:rsidRPr="00616FF4">
        <w:rPr>
          <w:rFonts w:cstheme="minorHAnsi"/>
        </w:rPr>
        <w:t xml:space="preserve">Kaiser Permanente’s Southern California </w:t>
      </w:r>
      <w:r w:rsidR="004C4901">
        <w:rPr>
          <w:rFonts w:cstheme="minorHAnsi"/>
        </w:rPr>
        <w:t>electronic medical record (</w:t>
      </w:r>
      <w:r w:rsidR="001775B5" w:rsidRPr="00616FF4">
        <w:rPr>
          <w:rFonts w:cstheme="minorHAnsi"/>
        </w:rPr>
        <w:t>EMR</w:t>
      </w:r>
      <w:r w:rsidR="004C4901">
        <w:rPr>
          <w:rFonts w:cstheme="minorHAnsi"/>
        </w:rPr>
        <w:t>)</w:t>
      </w:r>
      <w:r w:rsidR="001775B5" w:rsidRPr="00616FF4">
        <w:rPr>
          <w:rFonts w:cstheme="minorHAnsi"/>
        </w:rPr>
        <w:t xml:space="preserve"> </w:t>
      </w:r>
      <w:r w:rsidR="00801499" w:rsidRPr="00616FF4">
        <w:rPr>
          <w:rFonts w:cstheme="minorHAnsi"/>
        </w:rPr>
        <w:t>database</w:t>
      </w:r>
      <w:r w:rsidR="004B1FAB" w:rsidRPr="00616FF4">
        <w:rPr>
          <w:rFonts w:cstheme="minorHAnsi"/>
        </w:rPr>
        <w:t xml:space="preserve"> was used</w:t>
      </w:r>
      <w:r w:rsidR="00801499" w:rsidRPr="00616FF4">
        <w:rPr>
          <w:rFonts w:cstheme="minorHAnsi"/>
        </w:rPr>
        <w:t xml:space="preserve"> to compare </w:t>
      </w:r>
      <w:r w:rsidR="00393013" w:rsidRPr="00616FF4">
        <w:rPr>
          <w:rFonts w:cstheme="minorHAnsi"/>
        </w:rPr>
        <w:t>three weight-related outcomes (distance from median BMI for sex and age, weight adjusted for height, and percent overweight or obese) among</w:t>
      </w:r>
      <w:r w:rsidR="00801499" w:rsidRPr="00616FF4">
        <w:rPr>
          <w:rFonts w:cstheme="minorHAnsi"/>
        </w:rPr>
        <w:t xml:space="preserve"> </w:t>
      </w:r>
      <w:r w:rsidR="00E77574" w:rsidRPr="00616FF4">
        <w:rPr>
          <w:rFonts w:cstheme="minorHAnsi"/>
        </w:rPr>
        <w:t>160,472</w:t>
      </w:r>
      <w:r w:rsidR="00801499" w:rsidRPr="00616FF4">
        <w:rPr>
          <w:rFonts w:cstheme="minorHAnsi"/>
        </w:rPr>
        <w:t xml:space="preserve"> </w:t>
      </w:r>
      <w:r w:rsidR="00F103C1" w:rsidRPr="00616FF4">
        <w:rPr>
          <w:rFonts w:cstheme="minorHAnsi"/>
        </w:rPr>
        <w:t>youth</w:t>
      </w:r>
      <w:r w:rsidR="00801499" w:rsidRPr="00616FF4">
        <w:rPr>
          <w:rFonts w:cstheme="minorHAnsi"/>
        </w:rPr>
        <w:t xml:space="preserve"> aged </w:t>
      </w:r>
      <w:r w:rsidR="00E77574" w:rsidRPr="00616FF4">
        <w:rPr>
          <w:rFonts w:cstheme="minorHAnsi"/>
        </w:rPr>
        <w:t>5</w:t>
      </w:r>
      <w:r w:rsidR="00DE47EE">
        <w:rPr>
          <w:rFonts w:cstheme="minorHAnsi"/>
        </w:rPr>
        <w:t>–</w:t>
      </w:r>
      <w:r w:rsidR="00E77574" w:rsidRPr="00616FF4">
        <w:rPr>
          <w:rFonts w:cstheme="minorHAnsi"/>
        </w:rPr>
        <w:t xml:space="preserve">17 </w:t>
      </w:r>
      <w:r w:rsidR="00801499" w:rsidRPr="00616FF4">
        <w:rPr>
          <w:rFonts w:cstheme="minorHAnsi"/>
        </w:rPr>
        <w:t>years before and during the COVID-19 pandemic (</w:t>
      </w:r>
      <w:r w:rsidR="00E77574" w:rsidRPr="00616FF4">
        <w:rPr>
          <w:rFonts w:cstheme="minorHAnsi"/>
        </w:rPr>
        <w:t>March 2019</w:t>
      </w:r>
      <w:r w:rsidR="00DE47EE">
        <w:rPr>
          <w:rFonts w:cstheme="minorHAnsi"/>
        </w:rPr>
        <w:t>–</w:t>
      </w:r>
      <w:r w:rsidR="00E77574" w:rsidRPr="00616FF4">
        <w:rPr>
          <w:rFonts w:cstheme="minorHAnsi"/>
        </w:rPr>
        <w:t>January</w:t>
      </w:r>
      <w:r w:rsidR="00801499" w:rsidRPr="00616FF4">
        <w:rPr>
          <w:rFonts w:cstheme="minorHAnsi"/>
        </w:rPr>
        <w:t xml:space="preserve"> 2020 and March 2020</w:t>
      </w:r>
      <w:r w:rsidR="00DE47EE">
        <w:rPr>
          <w:rFonts w:cstheme="minorHAnsi"/>
        </w:rPr>
        <w:t>–</w:t>
      </w:r>
      <w:r w:rsidR="00E77574" w:rsidRPr="00616FF4">
        <w:rPr>
          <w:rFonts w:cstheme="minorHAnsi"/>
        </w:rPr>
        <w:t>January 2021,</w:t>
      </w:r>
      <w:r w:rsidR="00801499" w:rsidRPr="00616FF4">
        <w:rPr>
          <w:rFonts w:cstheme="minorHAnsi"/>
        </w:rPr>
        <w:t xml:space="preserve"> respectively</w:t>
      </w:r>
      <w:r w:rsidR="001D6A46" w:rsidRPr="00616FF4">
        <w:rPr>
          <w:rFonts w:cstheme="minorHAnsi"/>
        </w:rPr>
        <w:t>; participants had to have at least one BMI measure during each time period</w:t>
      </w:r>
      <w:r w:rsidR="00801499" w:rsidRPr="00616FF4">
        <w:rPr>
          <w:rFonts w:cstheme="minorHAnsi"/>
        </w:rPr>
        <w:t>).</w:t>
      </w:r>
      <w:r w:rsidR="00801499" w:rsidRPr="00616FF4">
        <w:rPr>
          <w:rFonts w:cstheme="minorHAnsi"/>
          <w:i/>
          <w:iCs/>
        </w:rPr>
        <w:t> </w:t>
      </w:r>
      <w:r w:rsidR="001D6A46" w:rsidRPr="00616FF4">
        <w:rPr>
          <w:rFonts w:cstheme="minorHAnsi"/>
        </w:rPr>
        <w:t xml:space="preserve">The final sample was demographically </w:t>
      </w:r>
      <w:proofErr w:type="gramStart"/>
      <w:r w:rsidR="001D6A46" w:rsidRPr="00616FF4">
        <w:rPr>
          <w:rFonts w:cstheme="minorHAnsi"/>
        </w:rPr>
        <w:t>similar to</w:t>
      </w:r>
      <w:proofErr w:type="gramEnd"/>
      <w:r w:rsidR="001D6A46" w:rsidRPr="00616FF4">
        <w:rPr>
          <w:rFonts w:cstheme="minorHAnsi"/>
        </w:rPr>
        <w:t xml:space="preserve"> the source population before exclusions, and a majority were Hispanic</w:t>
      </w:r>
      <w:r w:rsidR="00C50B57">
        <w:rPr>
          <w:rFonts w:cstheme="minorHAnsi"/>
        </w:rPr>
        <w:t xml:space="preserve"> youth</w:t>
      </w:r>
      <w:r w:rsidR="001D6A46" w:rsidRPr="00616FF4">
        <w:rPr>
          <w:rFonts w:cstheme="minorHAnsi"/>
        </w:rPr>
        <w:t xml:space="preserve">. </w:t>
      </w:r>
    </w:p>
    <w:p w14:paraId="38978F11" w14:textId="35CC2E8B" w:rsidR="005047EB" w:rsidRPr="00616FF4" w:rsidRDefault="00393013" w:rsidP="00216E7B">
      <w:pPr>
        <w:pStyle w:val="ListParagraph"/>
        <w:numPr>
          <w:ilvl w:val="1"/>
          <w:numId w:val="6"/>
        </w:numPr>
        <w:spacing w:after="0"/>
        <w:rPr>
          <w:rFonts w:cstheme="minorHAnsi"/>
        </w:rPr>
      </w:pPr>
      <w:r w:rsidRPr="00616FF4">
        <w:rPr>
          <w:rFonts w:cstheme="minorHAnsi"/>
        </w:rPr>
        <w:t>Data were analyzed in three age strata (5</w:t>
      </w:r>
      <w:r w:rsidR="00DE47EE">
        <w:rPr>
          <w:rFonts w:cstheme="minorHAnsi"/>
        </w:rPr>
        <w:t>–</w:t>
      </w:r>
      <w:r w:rsidRPr="00616FF4">
        <w:rPr>
          <w:rFonts w:cstheme="minorHAnsi"/>
        </w:rPr>
        <w:t>11, 12</w:t>
      </w:r>
      <w:r w:rsidR="00DE47EE">
        <w:rPr>
          <w:rFonts w:cstheme="minorHAnsi"/>
        </w:rPr>
        <w:t>–</w:t>
      </w:r>
      <w:r w:rsidRPr="00616FF4">
        <w:rPr>
          <w:rFonts w:cstheme="minorHAnsi"/>
        </w:rPr>
        <w:t>15, and 16</w:t>
      </w:r>
      <w:r w:rsidR="00DE47EE">
        <w:rPr>
          <w:rFonts w:cstheme="minorHAnsi"/>
        </w:rPr>
        <w:t>–</w:t>
      </w:r>
      <w:r w:rsidRPr="00616FF4">
        <w:rPr>
          <w:rFonts w:cstheme="minorHAnsi"/>
        </w:rPr>
        <w:t>17 years)</w:t>
      </w:r>
      <w:r w:rsidR="00695E6B">
        <w:rPr>
          <w:rFonts w:cstheme="minorHAnsi"/>
        </w:rPr>
        <w:t>.</w:t>
      </w:r>
    </w:p>
    <w:p w14:paraId="396AF252" w14:textId="61E4A422" w:rsidR="00393013" w:rsidRPr="00616FF4" w:rsidRDefault="00393013" w:rsidP="00216E7B">
      <w:pPr>
        <w:pStyle w:val="ListParagraph"/>
        <w:numPr>
          <w:ilvl w:val="1"/>
          <w:numId w:val="6"/>
        </w:numPr>
        <w:spacing w:after="0"/>
        <w:rPr>
          <w:rFonts w:cstheme="minorHAnsi"/>
        </w:rPr>
      </w:pPr>
      <w:r w:rsidRPr="00616FF4">
        <w:rPr>
          <w:rFonts w:cstheme="minorHAnsi"/>
        </w:rPr>
        <w:t>Models were adjusted for sex, neighborhood</w:t>
      </w:r>
      <w:r w:rsidR="00F36849">
        <w:rPr>
          <w:rFonts w:cstheme="minorHAnsi"/>
        </w:rPr>
        <w:t>,</w:t>
      </w:r>
      <w:r w:rsidRPr="00616FF4">
        <w:rPr>
          <w:rFonts w:cstheme="minorHAnsi"/>
        </w:rPr>
        <w:t xml:space="preserve"> education, and income.</w:t>
      </w:r>
    </w:p>
    <w:p w14:paraId="12B39D21" w14:textId="3F2C7D07" w:rsidR="00393013" w:rsidRPr="00616FF4" w:rsidRDefault="00393013" w:rsidP="00216E7B">
      <w:pPr>
        <w:pStyle w:val="ListParagraph"/>
        <w:numPr>
          <w:ilvl w:val="1"/>
          <w:numId w:val="6"/>
        </w:numPr>
        <w:spacing w:after="0"/>
        <w:rPr>
          <w:rFonts w:cstheme="minorHAnsi"/>
        </w:rPr>
      </w:pPr>
      <w:r w:rsidRPr="00616FF4">
        <w:rPr>
          <w:rFonts w:cstheme="minorHAnsi"/>
        </w:rPr>
        <w:t>Outcomes were examined by race/ethnicity, presence of neighborhood parks, and participation in state-subsidized health insurance.</w:t>
      </w:r>
    </w:p>
    <w:p w14:paraId="325E2CFA" w14:textId="2252F9BA" w:rsidR="005047EB" w:rsidRPr="00616FF4" w:rsidRDefault="005047EB" w:rsidP="00216E7B">
      <w:pPr>
        <w:pStyle w:val="ListParagraph"/>
        <w:numPr>
          <w:ilvl w:val="1"/>
          <w:numId w:val="6"/>
        </w:numPr>
        <w:spacing w:after="0"/>
        <w:rPr>
          <w:rFonts w:cstheme="minorHAnsi"/>
        </w:rPr>
      </w:pPr>
      <w:r w:rsidRPr="00616FF4">
        <w:rPr>
          <w:rFonts w:cstheme="minorHAnsi"/>
        </w:rPr>
        <w:t xml:space="preserve">A virtual data warehouse allowed for standardization of data across several of </w:t>
      </w:r>
      <w:proofErr w:type="gramStart"/>
      <w:r w:rsidRPr="00616FF4">
        <w:rPr>
          <w:rFonts w:cstheme="minorHAnsi"/>
        </w:rPr>
        <w:t xml:space="preserve">Kaiser’s </w:t>
      </w:r>
      <w:r w:rsidR="005B1AC1" w:rsidRPr="005B1AC1">
        <w:t xml:space="preserve"> </w:t>
      </w:r>
      <w:r w:rsidR="005B1AC1" w:rsidRPr="005B1AC1">
        <w:rPr>
          <w:rFonts w:cstheme="minorHAnsi"/>
        </w:rPr>
        <w:t>Health</w:t>
      </w:r>
      <w:proofErr w:type="gramEnd"/>
      <w:r w:rsidR="005B1AC1" w:rsidRPr="005B1AC1">
        <w:rPr>
          <w:rFonts w:cstheme="minorHAnsi"/>
        </w:rPr>
        <w:t xml:space="preserve"> Maintenance Organization</w:t>
      </w:r>
      <w:r w:rsidRPr="00616FF4">
        <w:rPr>
          <w:rFonts w:cstheme="minorHAnsi"/>
        </w:rPr>
        <w:t xml:space="preserve"> research networks. Census data were linked using geocoding and participant addresses, which provided information about neighborhoods, education, income, and parks.</w:t>
      </w:r>
    </w:p>
    <w:p w14:paraId="0CEC5D7D" w14:textId="5DFC71F2" w:rsidR="006A42A1" w:rsidRPr="00616FF4" w:rsidRDefault="000C0137" w:rsidP="00216E7B">
      <w:pPr>
        <w:pStyle w:val="ListParagraph"/>
        <w:numPr>
          <w:ilvl w:val="0"/>
          <w:numId w:val="19"/>
        </w:numPr>
        <w:spacing w:after="0"/>
        <w:rPr>
          <w:rFonts w:cstheme="minorHAnsi"/>
          <w:color w:val="000000" w:themeColor="text1"/>
        </w:rPr>
      </w:pPr>
      <w:r w:rsidRPr="00616FF4">
        <w:rPr>
          <w:rFonts w:cstheme="minorHAnsi"/>
          <w:i/>
          <w:iCs/>
          <w:color w:val="000000" w:themeColor="text1"/>
        </w:rPr>
        <w:t>Findings</w:t>
      </w:r>
      <w:r w:rsidR="00015842">
        <w:rPr>
          <w:rFonts w:cstheme="minorHAnsi"/>
          <w:i/>
          <w:iCs/>
          <w:color w:val="000000" w:themeColor="text1"/>
        </w:rPr>
        <w:t xml:space="preserve"> (initial results published Aug</w:t>
      </w:r>
      <w:r w:rsidR="00A9695E">
        <w:rPr>
          <w:rFonts w:cstheme="minorHAnsi"/>
          <w:i/>
          <w:iCs/>
          <w:color w:val="000000" w:themeColor="text1"/>
        </w:rPr>
        <w:t>ust</w:t>
      </w:r>
      <w:r w:rsidR="00015842">
        <w:rPr>
          <w:rFonts w:cstheme="minorHAnsi"/>
          <w:i/>
          <w:iCs/>
          <w:color w:val="000000" w:themeColor="text1"/>
        </w:rPr>
        <w:t xml:space="preserve"> 2021 in </w:t>
      </w:r>
      <w:hyperlink r:id="rId41" w:history="1">
        <w:r w:rsidR="00015842" w:rsidRPr="00015842">
          <w:rPr>
            <w:rStyle w:val="Hyperlink"/>
            <w:rFonts w:cstheme="minorHAnsi"/>
            <w:i/>
            <w:iCs/>
          </w:rPr>
          <w:t>JAMA</w:t>
        </w:r>
      </w:hyperlink>
      <w:r w:rsidR="00015842">
        <w:rPr>
          <w:rFonts w:cstheme="minorHAnsi"/>
          <w:i/>
          <w:iCs/>
          <w:color w:val="000000" w:themeColor="text1"/>
        </w:rPr>
        <w:t>)</w:t>
      </w:r>
      <w:r w:rsidR="00525CD1" w:rsidRPr="00616FF4">
        <w:rPr>
          <w:rFonts w:cstheme="minorHAnsi"/>
          <w:i/>
          <w:iCs/>
          <w:color w:val="000000" w:themeColor="text1"/>
        </w:rPr>
        <w:t xml:space="preserve">: </w:t>
      </w:r>
      <w:r w:rsidR="00525CD1" w:rsidRPr="00616FF4">
        <w:rPr>
          <w:rFonts w:cstheme="minorHAnsi"/>
          <w:color w:val="000000" w:themeColor="text1"/>
        </w:rPr>
        <w:t>5</w:t>
      </w:r>
      <w:r w:rsidR="00DE47EE">
        <w:rPr>
          <w:rFonts w:cstheme="minorHAnsi"/>
        </w:rPr>
        <w:t>–</w:t>
      </w:r>
      <w:r w:rsidR="00525CD1" w:rsidRPr="00616FF4">
        <w:rPr>
          <w:rFonts w:cstheme="minorHAnsi"/>
          <w:color w:val="000000" w:themeColor="text1"/>
        </w:rPr>
        <w:t>11 year-olds were most significantly impacted, having a 1.57 kg/m</w:t>
      </w:r>
      <w:r w:rsidR="00525CD1" w:rsidRPr="00616FF4">
        <w:rPr>
          <w:rFonts w:cstheme="minorHAnsi"/>
          <w:color w:val="000000" w:themeColor="text1"/>
          <w:vertAlign w:val="superscript"/>
        </w:rPr>
        <w:t>2</w:t>
      </w:r>
      <w:r w:rsidR="00525CD1" w:rsidRPr="00616FF4">
        <w:rPr>
          <w:rFonts w:cstheme="minorHAnsi"/>
          <w:i/>
          <w:iCs/>
          <w:color w:val="000000" w:themeColor="text1"/>
        </w:rPr>
        <w:t xml:space="preserve"> </w:t>
      </w:r>
      <w:r w:rsidR="00525CD1" w:rsidRPr="00616FF4">
        <w:rPr>
          <w:rFonts w:cstheme="minorHAnsi"/>
          <w:color w:val="000000" w:themeColor="text1"/>
        </w:rPr>
        <w:t xml:space="preserve">excess increase in BMI (5.07 </w:t>
      </w:r>
      <w:proofErr w:type="spellStart"/>
      <w:r w:rsidR="00525CD1" w:rsidRPr="00616FF4">
        <w:rPr>
          <w:rFonts w:cstheme="minorHAnsi"/>
          <w:color w:val="000000" w:themeColor="text1"/>
        </w:rPr>
        <w:t>lbs</w:t>
      </w:r>
      <w:proofErr w:type="spellEnd"/>
      <w:r w:rsidR="00525CD1" w:rsidRPr="00616FF4">
        <w:rPr>
          <w:rFonts w:cstheme="minorHAnsi"/>
          <w:color w:val="000000" w:themeColor="text1"/>
        </w:rPr>
        <w:t xml:space="preserve">) between the two time periods. For </w:t>
      </w:r>
      <w:r w:rsidR="00695E6B">
        <w:rPr>
          <w:rFonts w:cstheme="minorHAnsi"/>
          <w:color w:val="000000" w:themeColor="text1"/>
        </w:rPr>
        <w:t xml:space="preserve">ages </w:t>
      </w:r>
      <w:r w:rsidR="001D6A46" w:rsidRPr="00616FF4">
        <w:rPr>
          <w:rFonts w:cstheme="minorHAnsi"/>
          <w:color w:val="000000" w:themeColor="text1"/>
        </w:rPr>
        <w:t>12</w:t>
      </w:r>
      <w:r w:rsidR="00A9695E">
        <w:rPr>
          <w:rFonts w:cstheme="minorHAnsi"/>
        </w:rPr>
        <w:t>–</w:t>
      </w:r>
      <w:r w:rsidR="001D6A46" w:rsidRPr="00616FF4">
        <w:rPr>
          <w:rFonts w:cstheme="minorHAnsi"/>
          <w:color w:val="000000" w:themeColor="text1"/>
        </w:rPr>
        <w:t xml:space="preserve">15 </w:t>
      </w:r>
      <w:r w:rsidR="00525CD1" w:rsidRPr="00616FF4">
        <w:rPr>
          <w:rFonts w:cstheme="minorHAnsi"/>
          <w:color w:val="000000" w:themeColor="text1"/>
        </w:rPr>
        <w:t>the excess increase was 0.91 kg/m</w:t>
      </w:r>
      <w:r w:rsidR="00525CD1" w:rsidRPr="00616FF4">
        <w:rPr>
          <w:rFonts w:cstheme="minorHAnsi"/>
          <w:color w:val="000000" w:themeColor="text1"/>
          <w:vertAlign w:val="superscript"/>
        </w:rPr>
        <w:t>2</w:t>
      </w:r>
      <w:r w:rsidR="00525CD1" w:rsidRPr="00616FF4">
        <w:rPr>
          <w:rFonts w:cstheme="minorHAnsi"/>
          <w:color w:val="000000" w:themeColor="text1"/>
        </w:rPr>
        <w:t xml:space="preserve"> (5.10 </w:t>
      </w:r>
      <w:proofErr w:type="spellStart"/>
      <w:r w:rsidR="00525CD1" w:rsidRPr="00616FF4">
        <w:rPr>
          <w:rFonts w:cstheme="minorHAnsi"/>
          <w:color w:val="000000" w:themeColor="text1"/>
        </w:rPr>
        <w:t>lbs</w:t>
      </w:r>
      <w:proofErr w:type="spellEnd"/>
      <w:r w:rsidR="00525CD1" w:rsidRPr="00616FF4">
        <w:rPr>
          <w:rFonts w:cstheme="minorHAnsi"/>
          <w:color w:val="000000" w:themeColor="text1"/>
        </w:rPr>
        <w:t>)</w:t>
      </w:r>
      <w:r w:rsidR="00695E6B">
        <w:rPr>
          <w:rFonts w:cstheme="minorHAnsi"/>
          <w:color w:val="000000" w:themeColor="text1"/>
        </w:rPr>
        <w:t>;</w:t>
      </w:r>
      <w:r w:rsidR="00525CD1" w:rsidRPr="00616FF4">
        <w:rPr>
          <w:rFonts w:cstheme="minorHAnsi"/>
          <w:color w:val="000000" w:themeColor="text1"/>
        </w:rPr>
        <w:t xml:space="preserve"> for 16</w:t>
      </w:r>
      <w:r w:rsidR="00DE47EE">
        <w:rPr>
          <w:rFonts w:cstheme="minorHAnsi"/>
        </w:rPr>
        <w:t>–</w:t>
      </w:r>
      <w:proofErr w:type="gramStart"/>
      <w:r w:rsidR="00525CD1" w:rsidRPr="00616FF4">
        <w:rPr>
          <w:rFonts w:cstheme="minorHAnsi"/>
          <w:color w:val="000000" w:themeColor="text1"/>
        </w:rPr>
        <w:t>17 year-olds</w:t>
      </w:r>
      <w:proofErr w:type="gramEnd"/>
      <w:r w:rsidR="00525CD1" w:rsidRPr="00616FF4">
        <w:rPr>
          <w:rFonts w:cstheme="minorHAnsi"/>
          <w:color w:val="000000" w:themeColor="text1"/>
        </w:rPr>
        <w:t>, 0.48 kg/m</w:t>
      </w:r>
      <w:r w:rsidR="00525CD1" w:rsidRPr="00616FF4">
        <w:rPr>
          <w:rFonts w:cstheme="minorHAnsi"/>
          <w:color w:val="000000" w:themeColor="text1"/>
          <w:vertAlign w:val="superscript"/>
        </w:rPr>
        <w:t>2</w:t>
      </w:r>
      <w:r w:rsidR="00525CD1" w:rsidRPr="00616FF4">
        <w:rPr>
          <w:rFonts w:cstheme="minorHAnsi"/>
          <w:color w:val="000000" w:themeColor="text1"/>
        </w:rPr>
        <w:t xml:space="preserve"> (2.26 </w:t>
      </w:r>
      <w:proofErr w:type="spellStart"/>
      <w:r w:rsidR="00525CD1" w:rsidRPr="00616FF4">
        <w:rPr>
          <w:rFonts w:cstheme="minorHAnsi"/>
          <w:color w:val="000000" w:themeColor="text1"/>
        </w:rPr>
        <w:t>lbs</w:t>
      </w:r>
      <w:proofErr w:type="spellEnd"/>
      <w:r w:rsidR="00525CD1" w:rsidRPr="00616FF4">
        <w:rPr>
          <w:rFonts w:cstheme="minorHAnsi"/>
          <w:color w:val="000000" w:themeColor="text1"/>
        </w:rPr>
        <w:t>).</w:t>
      </w:r>
      <w:r w:rsidR="00900945" w:rsidRPr="00616FF4">
        <w:rPr>
          <w:rFonts w:cstheme="minorHAnsi"/>
          <w:color w:val="000000" w:themeColor="text1"/>
        </w:rPr>
        <w:t xml:space="preserve"> </w:t>
      </w:r>
    </w:p>
    <w:p w14:paraId="78B9A26E" w14:textId="7764EE4D" w:rsidR="00900945" w:rsidRPr="00616FF4" w:rsidRDefault="00900945" w:rsidP="00216E7B">
      <w:pPr>
        <w:pStyle w:val="ListParagraph"/>
        <w:numPr>
          <w:ilvl w:val="1"/>
          <w:numId w:val="19"/>
        </w:numPr>
        <w:spacing w:after="0"/>
        <w:rPr>
          <w:rFonts w:cstheme="minorHAnsi"/>
          <w:color w:val="000000" w:themeColor="text1"/>
        </w:rPr>
      </w:pPr>
      <w:r w:rsidRPr="00616FF4">
        <w:rPr>
          <w:rFonts w:cstheme="minorHAnsi"/>
          <w:color w:val="000000" w:themeColor="text1"/>
        </w:rPr>
        <w:t xml:space="preserve">Findings on disparities in weight changes are under </w:t>
      </w:r>
      <w:proofErr w:type="gramStart"/>
      <w:r w:rsidRPr="00616FF4">
        <w:rPr>
          <w:rFonts w:cstheme="minorHAnsi"/>
          <w:color w:val="000000" w:themeColor="text1"/>
        </w:rPr>
        <w:t>review</w:t>
      </w:r>
      <w:r w:rsidR="00BC1B71" w:rsidRPr="00616FF4">
        <w:rPr>
          <w:rFonts w:cstheme="minorHAnsi"/>
          <w:color w:val="000000" w:themeColor="text1"/>
        </w:rPr>
        <w:t>, but</w:t>
      </w:r>
      <w:proofErr w:type="gramEnd"/>
      <w:r w:rsidR="00BC1B71" w:rsidRPr="00616FF4">
        <w:rPr>
          <w:rFonts w:cstheme="minorHAnsi"/>
          <w:color w:val="000000" w:themeColor="text1"/>
        </w:rPr>
        <w:t xml:space="preserve"> indicate that disparities were strongest among ages 5</w:t>
      </w:r>
      <w:r w:rsidR="00DE47EE">
        <w:rPr>
          <w:rFonts w:cstheme="minorHAnsi"/>
        </w:rPr>
        <w:t>–</w:t>
      </w:r>
      <w:r w:rsidR="00BC1B71" w:rsidRPr="00616FF4">
        <w:rPr>
          <w:rFonts w:cstheme="minorHAnsi"/>
          <w:color w:val="000000" w:themeColor="text1"/>
        </w:rPr>
        <w:t xml:space="preserve">11. </w:t>
      </w:r>
      <w:r w:rsidR="00F00A02" w:rsidRPr="00616FF4">
        <w:rPr>
          <w:rFonts w:cstheme="minorHAnsi"/>
          <w:color w:val="000000" w:themeColor="text1"/>
        </w:rPr>
        <w:t xml:space="preserve">White and Asian children gained 4.2 </w:t>
      </w:r>
      <w:proofErr w:type="spellStart"/>
      <w:r w:rsidR="00F00A02" w:rsidRPr="00616FF4">
        <w:rPr>
          <w:rFonts w:cstheme="minorHAnsi"/>
          <w:color w:val="000000" w:themeColor="text1"/>
        </w:rPr>
        <w:t>lbs</w:t>
      </w:r>
      <w:proofErr w:type="spellEnd"/>
      <w:r w:rsidR="00F00A02" w:rsidRPr="00616FF4">
        <w:rPr>
          <w:rFonts w:cstheme="minorHAnsi"/>
          <w:color w:val="000000" w:themeColor="text1"/>
        </w:rPr>
        <w:t xml:space="preserve"> of excess weight compared to 5.8 and 6.0 pounds of excess weight for Hispanic and </w:t>
      </w:r>
      <w:r w:rsidR="00A9695E">
        <w:rPr>
          <w:rFonts w:cstheme="minorHAnsi"/>
          <w:color w:val="000000" w:themeColor="text1"/>
        </w:rPr>
        <w:t>B</w:t>
      </w:r>
      <w:r w:rsidR="00A9695E" w:rsidRPr="00616FF4">
        <w:rPr>
          <w:rFonts w:cstheme="minorHAnsi"/>
          <w:color w:val="000000" w:themeColor="text1"/>
        </w:rPr>
        <w:t>lack</w:t>
      </w:r>
      <w:r w:rsidR="00F00A02" w:rsidRPr="00616FF4">
        <w:rPr>
          <w:rFonts w:cstheme="minorHAnsi"/>
          <w:color w:val="000000" w:themeColor="text1"/>
        </w:rPr>
        <w:t xml:space="preserve"> children, respectively. Children on Medica</w:t>
      </w:r>
      <w:r w:rsidR="007F2603">
        <w:rPr>
          <w:rFonts w:cstheme="minorHAnsi"/>
          <w:color w:val="000000" w:themeColor="text1"/>
        </w:rPr>
        <w:t>id</w:t>
      </w:r>
      <w:r w:rsidR="00F00A02" w:rsidRPr="00616FF4">
        <w:rPr>
          <w:rFonts w:cstheme="minorHAnsi"/>
          <w:color w:val="000000" w:themeColor="text1"/>
        </w:rPr>
        <w:t xml:space="preserve"> gained more weight than children with private insurance, as did children living in neighborhoods without parks or with one park (</w:t>
      </w:r>
      <w:r w:rsidR="00A64D49">
        <w:rPr>
          <w:rFonts w:cstheme="minorHAnsi"/>
          <w:color w:val="000000" w:themeColor="text1"/>
        </w:rPr>
        <w:t>vs.</w:t>
      </w:r>
      <w:r w:rsidR="00F00A02" w:rsidRPr="00616FF4">
        <w:rPr>
          <w:rFonts w:cstheme="minorHAnsi"/>
          <w:color w:val="000000" w:themeColor="text1"/>
        </w:rPr>
        <w:t xml:space="preserve"> </w:t>
      </w:r>
      <w:r w:rsidR="00A9695E">
        <w:rPr>
          <w:rFonts w:cstheme="minorHAnsi"/>
          <w:color w:val="000000" w:themeColor="text1"/>
        </w:rPr>
        <w:t>two</w:t>
      </w:r>
      <w:r w:rsidR="00F00A02" w:rsidRPr="00616FF4">
        <w:rPr>
          <w:rFonts w:cstheme="minorHAnsi"/>
          <w:color w:val="000000" w:themeColor="text1"/>
        </w:rPr>
        <w:t xml:space="preserve"> or more parks).</w:t>
      </w:r>
    </w:p>
    <w:p w14:paraId="28D2B526" w14:textId="408C3123" w:rsidR="006A42A1" w:rsidRPr="00616FF4" w:rsidRDefault="006A42A1" w:rsidP="00216E7B">
      <w:pPr>
        <w:pStyle w:val="ListParagraph"/>
        <w:numPr>
          <w:ilvl w:val="1"/>
          <w:numId w:val="19"/>
        </w:numPr>
        <w:spacing w:after="0"/>
        <w:rPr>
          <w:rFonts w:cstheme="minorHAnsi"/>
          <w:color w:val="000000" w:themeColor="text1"/>
        </w:rPr>
      </w:pPr>
      <w:r w:rsidRPr="00616FF4">
        <w:rPr>
          <w:rFonts w:cstheme="minorHAnsi"/>
          <w:color w:val="000000" w:themeColor="text1"/>
        </w:rPr>
        <w:t xml:space="preserve">A summary of additive effects indicates that when comparing an overweight male who has access to </w:t>
      </w:r>
      <w:r w:rsidR="00A9695E">
        <w:rPr>
          <w:rFonts w:cstheme="minorHAnsi"/>
          <w:color w:val="000000" w:themeColor="text1"/>
        </w:rPr>
        <w:t>two</w:t>
      </w:r>
      <w:r w:rsidRPr="00616FF4">
        <w:rPr>
          <w:rFonts w:cstheme="minorHAnsi"/>
          <w:color w:val="000000" w:themeColor="text1"/>
        </w:rPr>
        <w:t xml:space="preserve"> parks and is not on Medica</w:t>
      </w:r>
      <w:r w:rsidR="007F2603">
        <w:rPr>
          <w:rFonts w:cstheme="minorHAnsi"/>
          <w:color w:val="000000" w:themeColor="text1"/>
        </w:rPr>
        <w:t>id</w:t>
      </w:r>
      <w:r w:rsidRPr="00616FF4">
        <w:rPr>
          <w:rFonts w:cstheme="minorHAnsi"/>
          <w:color w:val="000000" w:themeColor="text1"/>
        </w:rPr>
        <w:t xml:space="preserve">, a </w:t>
      </w:r>
      <w:r w:rsidR="00A9695E">
        <w:rPr>
          <w:rFonts w:cstheme="minorHAnsi"/>
          <w:color w:val="000000" w:themeColor="text1"/>
        </w:rPr>
        <w:t>W</w:t>
      </w:r>
      <w:r w:rsidR="00A9695E" w:rsidRPr="00616FF4">
        <w:rPr>
          <w:rFonts w:cstheme="minorHAnsi"/>
          <w:color w:val="000000" w:themeColor="text1"/>
        </w:rPr>
        <w:t>hite</w:t>
      </w:r>
      <w:r w:rsidRPr="00616FF4">
        <w:rPr>
          <w:rFonts w:cstheme="minorHAnsi"/>
          <w:color w:val="000000" w:themeColor="text1"/>
        </w:rPr>
        <w:t xml:space="preserve"> male</w:t>
      </w:r>
      <w:r w:rsidR="001E7C31" w:rsidRPr="00616FF4">
        <w:rPr>
          <w:rFonts w:cstheme="minorHAnsi"/>
          <w:color w:val="000000" w:themeColor="text1"/>
        </w:rPr>
        <w:t xml:space="preserve"> with these characteristics</w:t>
      </w:r>
      <w:r w:rsidRPr="00616FF4">
        <w:rPr>
          <w:rFonts w:cstheme="minorHAnsi"/>
          <w:color w:val="000000" w:themeColor="text1"/>
        </w:rPr>
        <w:t xml:space="preserve"> had a 0.84 kg/m</w:t>
      </w:r>
      <w:r w:rsidRPr="00616FF4">
        <w:rPr>
          <w:rFonts w:cstheme="minorHAnsi"/>
          <w:color w:val="000000" w:themeColor="text1"/>
          <w:vertAlign w:val="superscript"/>
        </w:rPr>
        <w:t>2</w:t>
      </w:r>
      <w:r w:rsidRPr="00616FF4">
        <w:rPr>
          <w:rFonts w:cstheme="minorHAnsi"/>
          <w:color w:val="000000" w:themeColor="text1"/>
        </w:rPr>
        <w:t xml:space="preserve"> increase in BMI and a Hispanic or </w:t>
      </w:r>
      <w:r w:rsidR="00A9695E">
        <w:rPr>
          <w:rFonts w:cstheme="minorHAnsi"/>
          <w:color w:val="000000" w:themeColor="text1"/>
        </w:rPr>
        <w:t>B</w:t>
      </w:r>
      <w:r w:rsidR="00A9695E" w:rsidRPr="00616FF4">
        <w:rPr>
          <w:rFonts w:cstheme="minorHAnsi"/>
          <w:color w:val="000000" w:themeColor="text1"/>
        </w:rPr>
        <w:t>lack</w:t>
      </w:r>
      <w:r w:rsidRPr="00616FF4">
        <w:rPr>
          <w:rFonts w:cstheme="minorHAnsi"/>
          <w:color w:val="000000" w:themeColor="text1"/>
        </w:rPr>
        <w:t xml:space="preserve"> male</w:t>
      </w:r>
      <w:r w:rsidR="001E7C31" w:rsidRPr="00616FF4">
        <w:rPr>
          <w:rFonts w:cstheme="minorHAnsi"/>
          <w:color w:val="000000" w:themeColor="text1"/>
        </w:rPr>
        <w:t xml:space="preserve"> with the same</w:t>
      </w:r>
      <w:r w:rsidR="005357F8">
        <w:rPr>
          <w:rFonts w:cstheme="minorHAnsi"/>
          <w:color w:val="000000" w:themeColor="text1"/>
        </w:rPr>
        <w:t xml:space="preserve"> characteristics</w:t>
      </w:r>
      <w:r w:rsidRPr="00616FF4">
        <w:rPr>
          <w:rFonts w:cstheme="minorHAnsi"/>
          <w:color w:val="000000" w:themeColor="text1"/>
        </w:rPr>
        <w:t xml:space="preserve"> had a 1.41 kg/</w:t>
      </w:r>
      <w:r w:rsidRPr="00616FF4">
        <w:rPr>
          <w:rFonts w:cstheme="minorHAnsi"/>
          <w:color w:val="000000" w:themeColor="text1"/>
          <w:vertAlign w:val="superscript"/>
        </w:rPr>
        <w:t>2</w:t>
      </w:r>
      <w:r w:rsidRPr="00616FF4">
        <w:rPr>
          <w:rFonts w:cstheme="minorHAnsi"/>
          <w:color w:val="000000" w:themeColor="text1"/>
        </w:rPr>
        <w:t xml:space="preserve"> increase.</w:t>
      </w:r>
      <w:r w:rsidRPr="00616FF4">
        <w:rPr>
          <w:rFonts w:cstheme="minorHAnsi"/>
          <w:color w:val="000000" w:themeColor="text1"/>
          <w:vertAlign w:val="superscript"/>
        </w:rPr>
        <w:t xml:space="preserve">  </w:t>
      </w:r>
    </w:p>
    <w:p w14:paraId="323E6B43" w14:textId="09EDC49E" w:rsidR="000A4C37" w:rsidRPr="00616FF4" w:rsidRDefault="000A4C37" w:rsidP="00216E7B">
      <w:pPr>
        <w:pStyle w:val="ListParagraph"/>
        <w:numPr>
          <w:ilvl w:val="0"/>
          <w:numId w:val="19"/>
        </w:numPr>
        <w:spacing w:after="0"/>
        <w:rPr>
          <w:rFonts w:cstheme="minorHAnsi"/>
          <w:color w:val="000000" w:themeColor="text1"/>
        </w:rPr>
      </w:pPr>
      <w:r w:rsidRPr="00616FF4">
        <w:rPr>
          <w:rFonts w:cstheme="minorHAnsi"/>
          <w:i/>
          <w:iCs/>
          <w:color w:val="000000" w:themeColor="text1"/>
        </w:rPr>
        <w:t xml:space="preserve">Discussion: </w:t>
      </w:r>
      <w:r w:rsidRPr="00616FF4">
        <w:rPr>
          <w:rFonts w:cstheme="minorHAnsi"/>
          <w:color w:val="000000" w:themeColor="text1"/>
        </w:rPr>
        <w:t xml:space="preserve">Limitations included lack of an unexposed control group in 2020; </w:t>
      </w:r>
      <w:r w:rsidR="00786B1B">
        <w:rPr>
          <w:rFonts w:cstheme="minorHAnsi"/>
          <w:color w:val="000000" w:themeColor="text1"/>
        </w:rPr>
        <w:t>exclusion</w:t>
      </w:r>
      <w:r w:rsidRPr="00616FF4">
        <w:rPr>
          <w:rFonts w:cstheme="minorHAnsi"/>
          <w:color w:val="000000" w:themeColor="text1"/>
        </w:rPr>
        <w:t xml:space="preserve"> of children with</w:t>
      </w:r>
      <w:r w:rsidR="00786B1B">
        <w:rPr>
          <w:rFonts w:cstheme="minorHAnsi"/>
          <w:color w:val="000000" w:themeColor="text1"/>
        </w:rPr>
        <w:t>out</w:t>
      </w:r>
      <w:r w:rsidRPr="00616FF4">
        <w:rPr>
          <w:rFonts w:cstheme="minorHAnsi"/>
          <w:color w:val="000000" w:themeColor="text1"/>
        </w:rPr>
        <w:t xml:space="preserve"> appointments; use of Medica</w:t>
      </w:r>
      <w:r w:rsidR="007F2603">
        <w:rPr>
          <w:rFonts w:cstheme="minorHAnsi"/>
          <w:color w:val="000000" w:themeColor="text1"/>
        </w:rPr>
        <w:t>id</w:t>
      </w:r>
      <w:r w:rsidRPr="00616FF4">
        <w:rPr>
          <w:rFonts w:cstheme="minorHAnsi"/>
          <w:color w:val="000000" w:themeColor="text1"/>
        </w:rPr>
        <w:t xml:space="preserve"> </w:t>
      </w:r>
      <w:r w:rsidR="00786B1B">
        <w:rPr>
          <w:rFonts w:cstheme="minorHAnsi"/>
          <w:color w:val="000000" w:themeColor="text1"/>
        </w:rPr>
        <w:t>a</w:t>
      </w:r>
      <w:r w:rsidRPr="00616FF4">
        <w:rPr>
          <w:rFonts w:cstheme="minorHAnsi"/>
          <w:color w:val="000000" w:themeColor="text1"/>
        </w:rPr>
        <w:t>s proxy for SES</w:t>
      </w:r>
      <w:r w:rsidR="00786B1B">
        <w:rPr>
          <w:rFonts w:cstheme="minorHAnsi"/>
          <w:color w:val="000000" w:themeColor="text1"/>
        </w:rPr>
        <w:t>;</w:t>
      </w:r>
      <w:r w:rsidRPr="00616FF4">
        <w:rPr>
          <w:rFonts w:cstheme="minorHAnsi"/>
          <w:color w:val="000000" w:themeColor="text1"/>
        </w:rPr>
        <w:t xml:space="preserve"> </w:t>
      </w:r>
      <w:r w:rsidR="00D13370">
        <w:rPr>
          <w:rFonts w:cstheme="minorHAnsi"/>
          <w:color w:val="000000" w:themeColor="text1"/>
        </w:rPr>
        <w:t xml:space="preserve">and </w:t>
      </w:r>
      <w:r w:rsidRPr="00616FF4">
        <w:rPr>
          <w:rFonts w:cstheme="minorHAnsi"/>
          <w:color w:val="000000" w:themeColor="text1"/>
        </w:rPr>
        <w:t xml:space="preserve">number of parks in neighborhood as proxy for access to parks and playgrounds. Overall results indicate significant excess weight gain during the pandemic period, especially in </w:t>
      </w:r>
      <w:r w:rsidR="00073CB9" w:rsidRPr="00616FF4">
        <w:rPr>
          <w:rFonts w:cstheme="minorHAnsi"/>
          <w:color w:val="000000" w:themeColor="text1"/>
        </w:rPr>
        <w:t>5</w:t>
      </w:r>
      <w:r w:rsidR="00073CB9">
        <w:rPr>
          <w:rFonts w:cstheme="minorHAnsi"/>
        </w:rPr>
        <w:t>–</w:t>
      </w:r>
      <w:r w:rsidR="00073CB9" w:rsidRPr="00616FF4">
        <w:rPr>
          <w:rFonts w:cstheme="minorHAnsi"/>
          <w:color w:val="000000" w:themeColor="text1"/>
        </w:rPr>
        <w:t>11-year-olds</w:t>
      </w:r>
      <w:r w:rsidRPr="00616FF4">
        <w:rPr>
          <w:rFonts w:cstheme="minorHAnsi"/>
          <w:color w:val="000000" w:themeColor="text1"/>
        </w:rPr>
        <w:t xml:space="preserve">. Going forward, additional factors can be </w:t>
      </w:r>
      <w:r w:rsidRPr="00616FF4">
        <w:rPr>
          <w:rFonts w:cstheme="minorHAnsi"/>
          <w:color w:val="000000" w:themeColor="text1"/>
        </w:rPr>
        <w:lastRenderedPageBreak/>
        <w:t>examined such as neighborhood deprivation, food insecurity, lifestyle habits, and family-level data</w:t>
      </w:r>
      <w:r w:rsidR="007A720C" w:rsidRPr="00616FF4">
        <w:rPr>
          <w:rFonts w:cstheme="minorHAnsi"/>
          <w:color w:val="000000" w:themeColor="text1"/>
        </w:rPr>
        <w:t>. Some of this information is available in EMRs.</w:t>
      </w:r>
    </w:p>
    <w:p w14:paraId="0B40475A" w14:textId="77777777" w:rsidR="00900945" w:rsidRPr="00616FF4" w:rsidRDefault="00900945" w:rsidP="00216E7B">
      <w:pPr>
        <w:pStyle w:val="ListParagraph"/>
        <w:spacing w:after="0"/>
        <w:rPr>
          <w:rFonts w:cstheme="minorHAnsi"/>
          <w:color w:val="000000" w:themeColor="text1"/>
        </w:rPr>
      </w:pPr>
    </w:p>
    <w:p w14:paraId="31BC4D5A" w14:textId="7D823455" w:rsidR="0063011F" w:rsidRDefault="0063011F" w:rsidP="00216E7B">
      <w:pPr>
        <w:spacing w:line="276" w:lineRule="auto"/>
        <w:rPr>
          <w:rFonts w:eastAsia="Calibri" w:cstheme="minorHAnsi"/>
          <w:b/>
          <w:bCs/>
          <w:color w:val="000000" w:themeColor="text1"/>
          <w:sz w:val="22"/>
          <w:szCs w:val="22"/>
        </w:rPr>
      </w:pPr>
      <w:r>
        <w:rPr>
          <w:rFonts w:eastAsia="Calibri" w:cstheme="minorHAnsi"/>
          <w:b/>
          <w:bCs/>
          <w:color w:val="000000" w:themeColor="text1"/>
          <w:sz w:val="22"/>
          <w:szCs w:val="22"/>
        </w:rPr>
        <w:t xml:space="preserve">Q&amp;A with </w:t>
      </w:r>
      <w:r w:rsidR="00D950B3">
        <w:rPr>
          <w:rFonts w:eastAsia="Calibri" w:cstheme="minorHAnsi"/>
          <w:b/>
          <w:bCs/>
          <w:color w:val="000000" w:themeColor="text1"/>
          <w:sz w:val="22"/>
          <w:szCs w:val="22"/>
        </w:rPr>
        <w:t>Dr</w:t>
      </w:r>
      <w:r w:rsidR="00B830C7">
        <w:rPr>
          <w:rFonts w:eastAsia="Calibri" w:cstheme="minorHAnsi"/>
          <w:b/>
          <w:bCs/>
          <w:color w:val="000000" w:themeColor="text1"/>
          <w:sz w:val="22"/>
          <w:szCs w:val="22"/>
        </w:rPr>
        <w:t>s</w:t>
      </w:r>
      <w:r w:rsidR="00D950B3">
        <w:rPr>
          <w:rFonts w:eastAsia="Calibri" w:cstheme="minorHAnsi"/>
          <w:b/>
          <w:bCs/>
          <w:color w:val="000000" w:themeColor="text1"/>
          <w:sz w:val="22"/>
          <w:szCs w:val="22"/>
        </w:rPr>
        <w:t xml:space="preserve">. Woolford and </w:t>
      </w:r>
      <w:proofErr w:type="spellStart"/>
      <w:r w:rsidR="00D950B3">
        <w:rPr>
          <w:rFonts w:eastAsia="Calibri" w:cstheme="minorHAnsi"/>
          <w:b/>
          <w:bCs/>
          <w:color w:val="000000" w:themeColor="text1"/>
          <w:sz w:val="22"/>
          <w:szCs w:val="22"/>
        </w:rPr>
        <w:t>Koebnick</w:t>
      </w:r>
      <w:proofErr w:type="spellEnd"/>
    </w:p>
    <w:p w14:paraId="26079C95" w14:textId="77777777" w:rsidR="0063011F" w:rsidRPr="0063011F" w:rsidRDefault="0063011F" w:rsidP="00216E7B">
      <w:pPr>
        <w:spacing w:line="276" w:lineRule="auto"/>
        <w:rPr>
          <w:rFonts w:eastAsia="Calibri" w:cstheme="minorHAnsi"/>
          <w:b/>
          <w:bCs/>
          <w:color w:val="000000" w:themeColor="text1"/>
          <w:sz w:val="22"/>
          <w:szCs w:val="22"/>
        </w:rPr>
      </w:pPr>
    </w:p>
    <w:p w14:paraId="2A4C0201" w14:textId="0CF1C26B" w:rsidR="0063011F" w:rsidRPr="00027B59" w:rsidRDefault="0063011F" w:rsidP="00216E7B">
      <w:pPr>
        <w:spacing w:line="276" w:lineRule="auto"/>
        <w:rPr>
          <w:rFonts w:eastAsia="Calibri" w:cstheme="minorHAnsi"/>
          <w:color w:val="000000" w:themeColor="text1"/>
          <w:sz w:val="22"/>
          <w:szCs w:val="22"/>
        </w:rPr>
      </w:pPr>
      <w:r>
        <w:rPr>
          <w:rFonts w:eastAsia="Calibri" w:cstheme="minorHAnsi"/>
          <w:i/>
          <w:iCs/>
          <w:color w:val="000000" w:themeColor="text1"/>
          <w:sz w:val="22"/>
          <w:szCs w:val="22"/>
        </w:rPr>
        <w:t>D</w:t>
      </w:r>
      <w:r w:rsidRPr="00027B59">
        <w:rPr>
          <w:rFonts w:eastAsia="Calibri" w:cstheme="minorHAnsi"/>
          <w:i/>
          <w:iCs/>
          <w:color w:val="000000" w:themeColor="text1"/>
          <w:sz w:val="22"/>
          <w:szCs w:val="22"/>
        </w:rPr>
        <w:t xml:space="preserve">. </w:t>
      </w:r>
      <w:proofErr w:type="spellStart"/>
      <w:r w:rsidRPr="00027B59">
        <w:rPr>
          <w:rFonts w:eastAsia="Calibri" w:cstheme="minorHAnsi"/>
          <w:i/>
          <w:iCs/>
          <w:color w:val="000000" w:themeColor="text1"/>
          <w:sz w:val="22"/>
          <w:szCs w:val="22"/>
        </w:rPr>
        <w:t>Ederer</w:t>
      </w:r>
      <w:proofErr w:type="spellEnd"/>
      <w:r w:rsidRPr="00027B59">
        <w:rPr>
          <w:rFonts w:eastAsia="Calibri" w:cstheme="minorHAnsi"/>
          <w:i/>
          <w:iCs/>
          <w:color w:val="000000" w:themeColor="text1"/>
          <w:sz w:val="22"/>
          <w:szCs w:val="22"/>
        </w:rPr>
        <w:t xml:space="preserve">: How were neighborhoods defined and number of parks quantified for each neighborhood? </w:t>
      </w:r>
    </w:p>
    <w:p w14:paraId="40F5A260" w14:textId="77777777" w:rsidR="0063011F" w:rsidRPr="00027B59" w:rsidRDefault="0063011F" w:rsidP="00216E7B">
      <w:pPr>
        <w:pStyle w:val="ListParagraph"/>
        <w:numPr>
          <w:ilvl w:val="0"/>
          <w:numId w:val="21"/>
        </w:numPr>
        <w:spacing w:after="0"/>
        <w:rPr>
          <w:rFonts w:eastAsia="Calibri" w:cstheme="minorHAnsi"/>
          <w:color w:val="000000" w:themeColor="text1"/>
        </w:rPr>
      </w:pPr>
      <w:r w:rsidRPr="00027B59">
        <w:rPr>
          <w:rFonts w:eastAsia="Calibri" w:cstheme="minorHAnsi"/>
          <w:color w:val="000000" w:themeColor="text1"/>
        </w:rPr>
        <w:t xml:space="preserve">C. </w:t>
      </w:r>
      <w:proofErr w:type="spellStart"/>
      <w:r w:rsidRPr="00027B59">
        <w:rPr>
          <w:rFonts w:eastAsia="Calibri" w:cstheme="minorHAnsi"/>
          <w:color w:val="000000" w:themeColor="text1"/>
        </w:rPr>
        <w:t>Koebnick</w:t>
      </w:r>
      <w:proofErr w:type="spellEnd"/>
      <w:r w:rsidRPr="00027B59">
        <w:rPr>
          <w:rFonts w:eastAsia="Calibri" w:cstheme="minorHAnsi"/>
          <w:color w:val="000000" w:themeColor="text1"/>
        </w:rPr>
        <w:t xml:space="preserve">: We used participant addresses to do geocoding and merged that with census data at the block level. Our GIS software includes a layering package called ESRI that we used to get data on parks. It only provides the number of parks by census block, not the size of the parks. </w:t>
      </w:r>
    </w:p>
    <w:p w14:paraId="2A6317B1" w14:textId="77777777" w:rsidR="0063011F" w:rsidRDefault="0063011F" w:rsidP="00216E7B">
      <w:pPr>
        <w:spacing w:line="276" w:lineRule="auto"/>
        <w:rPr>
          <w:rFonts w:eastAsia="Calibri" w:cstheme="minorHAnsi"/>
          <w:i/>
          <w:iCs/>
          <w:color w:val="000000" w:themeColor="text1"/>
          <w:sz w:val="22"/>
          <w:szCs w:val="22"/>
        </w:rPr>
      </w:pPr>
    </w:p>
    <w:p w14:paraId="36909A79" w14:textId="77777777" w:rsidR="0063011F" w:rsidRPr="00027B59" w:rsidRDefault="0063011F" w:rsidP="00216E7B">
      <w:pPr>
        <w:spacing w:line="276" w:lineRule="auto"/>
        <w:rPr>
          <w:rFonts w:eastAsia="Calibri" w:cstheme="minorHAnsi"/>
          <w:i/>
          <w:iCs/>
          <w:color w:val="000000" w:themeColor="text1"/>
          <w:sz w:val="22"/>
          <w:szCs w:val="22"/>
        </w:rPr>
      </w:pPr>
      <w:r w:rsidRPr="00027B59">
        <w:rPr>
          <w:rFonts w:eastAsia="Calibri" w:cstheme="minorHAnsi"/>
          <w:i/>
          <w:iCs/>
          <w:color w:val="000000" w:themeColor="text1"/>
          <w:sz w:val="22"/>
          <w:szCs w:val="22"/>
        </w:rPr>
        <w:t xml:space="preserve">M. Ehmke: Were you able to access information about employment changes during the pandemic for participants’ parents? </w:t>
      </w:r>
    </w:p>
    <w:p w14:paraId="6482DE22" w14:textId="04AFD75A" w:rsidR="0063011F" w:rsidRPr="00027B59" w:rsidRDefault="0063011F" w:rsidP="00216E7B">
      <w:pPr>
        <w:pStyle w:val="ListParagraph"/>
        <w:numPr>
          <w:ilvl w:val="0"/>
          <w:numId w:val="33"/>
        </w:numPr>
        <w:spacing w:after="0"/>
        <w:rPr>
          <w:rFonts w:eastAsia="Calibri" w:cstheme="minorHAnsi"/>
          <w:color w:val="000000" w:themeColor="text1"/>
        </w:rPr>
      </w:pPr>
      <w:r w:rsidRPr="00027B59">
        <w:rPr>
          <w:rFonts w:eastAsia="Calibri" w:cstheme="minorHAnsi"/>
          <w:color w:val="000000" w:themeColor="text1"/>
        </w:rPr>
        <w:t xml:space="preserve">C. </w:t>
      </w:r>
      <w:proofErr w:type="spellStart"/>
      <w:r w:rsidRPr="00027B59">
        <w:rPr>
          <w:rFonts w:eastAsia="Calibri" w:cstheme="minorHAnsi"/>
          <w:color w:val="000000" w:themeColor="text1"/>
        </w:rPr>
        <w:t>Koebnick</w:t>
      </w:r>
      <w:proofErr w:type="spellEnd"/>
      <w:r w:rsidRPr="00027B59">
        <w:rPr>
          <w:rFonts w:eastAsia="Calibri" w:cstheme="minorHAnsi"/>
          <w:color w:val="000000" w:themeColor="text1"/>
        </w:rPr>
        <w:t xml:space="preserve">: Those data are not in the EMR in a way that is easily accessible or standardized. This information may be documented in a progress note but this would require natural language processing to extract. We did start asking questions in </w:t>
      </w:r>
      <w:r w:rsidR="004C4901">
        <w:rPr>
          <w:rFonts w:eastAsia="Calibri" w:cstheme="minorHAnsi"/>
          <w:color w:val="000000" w:themeColor="text1"/>
        </w:rPr>
        <w:t>f</w:t>
      </w:r>
      <w:r w:rsidRPr="00027B59">
        <w:rPr>
          <w:rFonts w:eastAsia="Calibri" w:cstheme="minorHAnsi"/>
          <w:color w:val="000000" w:themeColor="text1"/>
        </w:rPr>
        <w:t xml:space="preserve">all 2021 about SDOH and food insecurity during the past 12 months, so we could examine those associations going forward. </w:t>
      </w:r>
    </w:p>
    <w:p w14:paraId="0B90B7D0" w14:textId="77777777" w:rsidR="0063011F" w:rsidRDefault="0063011F" w:rsidP="00216E7B">
      <w:pPr>
        <w:pStyle w:val="ListParagraph"/>
        <w:numPr>
          <w:ilvl w:val="0"/>
          <w:numId w:val="33"/>
        </w:numPr>
        <w:spacing w:after="0"/>
        <w:rPr>
          <w:rFonts w:eastAsia="Calibri" w:cstheme="minorHAnsi"/>
          <w:color w:val="000000" w:themeColor="text1"/>
        </w:rPr>
      </w:pPr>
      <w:r w:rsidRPr="00027B59">
        <w:rPr>
          <w:rFonts w:eastAsia="Calibri" w:cstheme="minorHAnsi"/>
          <w:color w:val="000000" w:themeColor="text1"/>
        </w:rPr>
        <w:t xml:space="preserve">S. Woolford: Patients complete SDOH questionnaires in the clinic, which provide tangential information about parental employment. </w:t>
      </w:r>
    </w:p>
    <w:p w14:paraId="49E86AE6" w14:textId="77777777" w:rsidR="0063011F" w:rsidRDefault="0063011F" w:rsidP="00216E7B">
      <w:pPr>
        <w:spacing w:line="276" w:lineRule="auto"/>
        <w:rPr>
          <w:rFonts w:eastAsia="Calibri" w:cstheme="minorHAnsi"/>
          <w:color w:val="000000" w:themeColor="text1"/>
        </w:rPr>
      </w:pPr>
    </w:p>
    <w:p w14:paraId="7459C634" w14:textId="27447649" w:rsidR="0063011F" w:rsidRPr="00027B59" w:rsidRDefault="0063011F" w:rsidP="00216E7B">
      <w:pPr>
        <w:spacing w:line="276" w:lineRule="auto"/>
        <w:rPr>
          <w:rFonts w:eastAsia="Calibri" w:cstheme="minorHAnsi"/>
          <w:color w:val="000000" w:themeColor="text1"/>
          <w:sz w:val="22"/>
          <w:szCs w:val="22"/>
        </w:rPr>
      </w:pPr>
      <w:r>
        <w:rPr>
          <w:rFonts w:eastAsia="Calibri" w:cstheme="minorHAnsi"/>
          <w:i/>
          <w:iCs/>
          <w:color w:val="000000" w:themeColor="text1"/>
          <w:sz w:val="22"/>
          <w:szCs w:val="22"/>
        </w:rPr>
        <w:t>K.</w:t>
      </w:r>
      <w:r w:rsidR="00A1198E">
        <w:rPr>
          <w:rFonts w:eastAsia="Calibri" w:cstheme="minorHAnsi"/>
          <w:i/>
          <w:iCs/>
          <w:color w:val="000000" w:themeColor="text1"/>
          <w:sz w:val="22"/>
          <w:szCs w:val="22"/>
        </w:rPr>
        <w:t xml:space="preserve"> </w:t>
      </w:r>
      <w:r>
        <w:rPr>
          <w:rFonts w:eastAsia="Calibri" w:cstheme="minorHAnsi"/>
          <w:i/>
          <w:iCs/>
          <w:color w:val="000000" w:themeColor="text1"/>
          <w:sz w:val="22"/>
          <w:szCs w:val="22"/>
        </w:rPr>
        <w:t>Hilyard: How can government agencies and CBOs work with health</w:t>
      </w:r>
      <w:r w:rsidR="004C4901">
        <w:rPr>
          <w:rFonts w:eastAsia="Calibri" w:cstheme="minorHAnsi"/>
          <w:i/>
          <w:iCs/>
          <w:color w:val="000000" w:themeColor="text1"/>
          <w:sz w:val="22"/>
          <w:szCs w:val="22"/>
        </w:rPr>
        <w:t xml:space="preserve"> </w:t>
      </w:r>
      <w:r>
        <w:rPr>
          <w:rFonts w:eastAsia="Calibri" w:cstheme="minorHAnsi"/>
          <w:i/>
          <w:iCs/>
          <w:color w:val="000000" w:themeColor="text1"/>
          <w:sz w:val="22"/>
          <w:szCs w:val="22"/>
        </w:rPr>
        <w:t xml:space="preserve">care systems to access and share privately-owned EHR data? </w:t>
      </w:r>
    </w:p>
    <w:p w14:paraId="3315B220" w14:textId="53FD6631" w:rsidR="0063011F" w:rsidRPr="005D2030" w:rsidRDefault="0063011F" w:rsidP="00216E7B">
      <w:pPr>
        <w:pStyle w:val="ListParagraph"/>
        <w:numPr>
          <w:ilvl w:val="0"/>
          <w:numId w:val="22"/>
        </w:numPr>
        <w:spacing w:after="0"/>
        <w:ind w:left="360"/>
        <w:rPr>
          <w:rFonts w:eastAsia="Calibri" w:cstheme="minorHAnsi"/>
          <w:color w:val="000000" w:themeColor="text1"/>
        </w:rPr>
      </w:pPr>
      <w:r>
        <w:rPr>
          <w:rFonts w:eastAsia="Calibri" w:cstheme="minorHAnsi"/>
          <w:color w:val="000000" w:themeColor="text1"/>
        </w:rPr>
        <w:t xml:space="preserve">C. </w:t>
      </w:r>
      <w:proofErr w:type="spellStart"/>
      <w:r>
        <w:rPr>
          <w:rFonts w:eastAsia="Calibri" w:cstheme="minorHAnsi"/>
          <w:color w:val="000000" w:themeColor="text1"/>
        </w:rPr>
        <w:t>Koebnick</w:t>
      </w:r>
      <w:proofErr w:type="spellEnd"/>
      <w:r>
        <w:rPr>
          <w:rFonts w:eastAsia="Calibri" w:cstheme="minorHAnsi"/>
          <w:color w:val="000000" w:themeColor="text1"/>
        </w:rPr>
        <w:t>: Certain grant and contract mechanisms allow for this kind of collaboration. K</w:t>
      </w:r>
      <w:r w:rsidR="00A16077">
        <w:rPr>
          <w:rFonts w:eastAsia="Calibri" w:cstheme="minorHAnsi"/>
          <w:color w:val="000000" w:themeColor="text1"/>
        </w:rPr>
        <w:t>aiser</w:t>
      </w:r>
      <w:r>
        <w:rPr>
          <w:rFonts w:eastAsia="Calibri" w:cstheme="minorHAnsi"/>
          <w:color w:val="000000" w:themeColor="text1"/>
        </w:rPr>
        <w:t xml:space="preserve"> has done this, for example, by providing the </w:t>
      </w:r>
      <w:hyperlink r:id="rId42" w:history="1">
        <w:r w:rsidRPr="00940E85">
          <w:rPr>
            <w:rStyle w:val="Hyperlink"/>
            <w:rFonts w:eastAsia="Calibri" w:cstheme="minorHAnsi"/>
          </w:rPr>
          <w:t>First Five LA initiative</w:t>
        </w:r>
      </w:hyperlink>
      <w:r>
        <w:rPr>
          <w:rFonts w:eastAsia="Calibri" w:cstheme="minorHAnsi"/>
          <w:color w:val="000000" w:themeColor="text1"/>
        </w:rPr>
        <w:t xml:space="preserve"> a comparison cohort for its intervention. Health</w:t>
      </w:r>
      <w:r w:rsidR="0023767A">
        <w:rPr>
          <w:rFonts w:eastAsia="Calibri" w:cstheme="minorHAnsi"/>
          <w:color w:val="000000" w:themeColor="text1"/>
        </w:rPr>
        <w:t xml:space="preserve"> </w:t>
      </w:r>
      <w:r>
        <w:rPr>
          <w:rFonts w:eastAsia="Calibri" w:cstheme="minorHAnsi"/>
          <w:color w:val="000000" w:themeColor="text1"/>
        </w:rPr>
        <w:t xml:space="preserve">care systems may choose to do the analysis in-house if they are not able to share large datasets with other entities. </w:t>
      </w:r>
    </w:p>
    <w:p w14:paraId="625F4B91" w14:textId="77777777" w:rsidR="0063011F" w:rsidRPr="00027B59" w:rsidRDefault="0063011F" w:rsidP="00216E7B">
      <w:pPr>
        <w:spacing w:line="276" w:lineRule="auto"/>
        <w:rPr>
          <w:rFonts w:eastAsia="Calibri" w:cstheme="minorHAnsi"/>
          <w:color w:val="000000" w:themeColor="text1"/>
          <w:sz w:val="22"/>
          <w:szCs w:val="22"/>
        </w:rPr>
      </w:pPr>
    </w:p>
    <w:p w14:paraId="7CE2E0A0" w14:textId="68E54939" w:rsidR="0063011F" w:rsidRDefault="0063011F" w:rsidP="00216E7B">
      <w:pPr>
        <w:spacing w:line="276" w:lineRule="auto"/>
        <w:rPr>
          <w:rFonts w:eastAsia="Calibri" w:cstheme="minorHAnsi"/>
          <w:i/>
          <w:iCs/>
          <w:color w:val="000000" w:themeColor="text1"/>
          <w:sz w:val="22"/>
          <w:szCs w:val="22"/>
        </w:rPr>
      </w:pPr>
      <w:r w:rsidRPr="0063011F">
        <w:rPr>
          <w:rFonts w:eastAsia="Calibri" w:cstheme="minorHAnsi"/>
          <w:i/>
          <w:iCs/>
          <w:color w:val="000000" w:themeColor="text1"/>
          <w:sz w:val="22"/>
          <w:szCs w:val="22"/>
        </w:rPr>
        <w:t>K. Hilyard: How much of a factor do you believe nutrition may have been for kids who were eating primarily at home vs. eating at least one meal</w:t>
      </w:r>
      <w:r w:rsidR="0023767A">
        <w:rPr>
          <w:rFonts w:eastAsia="Calibri" w:cstheme="minorHAnsi"/>
          <w:i/>
          <w:iCs/>
          <w:color w:val="000000" w:themeColor="text1"/>
          <w:sz w:val="22"/>
          <w:szCs w:val="22"/>
        </w:rPr>
        <w:t xml:space="preserve"> a </w:t>
      </w:r>
      <w:r w:rsidRPr="0063011F">
        <w:rPr>
          <w:rFonts w:eastAsia="Calibri" w:cstheme="minorHAnsi"/>
          <w:i/>
          <w:iCs/>
          <w:color w:val="000000" w:themeColor="text1"/>
          <w:sz w:val="22"/>
          <w:szCs w:val="22"/>
        </w:rPr>
        <w:t>day at school during the rest of the year?</w:t>
      </w:r>
    </w:p>
    <w:p w14:paraId="26D049FF" w14:textId="3F36EC05" w:rsidR="0063011F" w:rsidRPr="0063011F" w:rsidRDefault="0063011F" w:rsidP="00216E7B">
      <w:pPr>
        <w:pStyle w:val="ListParagraph"/>
        <w:numPr>
          <w:ilvl w:val="0"/>
          <w:numId w:val="22"/>
        </w:numPr>
        <w:spacing w:after="0"/>
        <w:ind w:left="360"/>
        <w:rPr>
          <w:rFonts w:eastAsia="Calibri" w:cstheme="minorHAnsi"/>
          <w:i/>
          <w:iCs/>
          <w:color w:val="000000" w:themeColor="text1"/>
        </w:rPr>
      </w:pPr>
      <w:r>
        <w:rPr>
          <w:rFonts w:eastAsia="Calibri" w:cstheme="minorHAnsi"/>
          <w:color w:val="000000" w:themeColor="text1"/>
        </w:rPr>
        <w:t xml:space="preserve">S. Woolford: Nutrition likely played an important role given that school meals are a key source of healthy food for lower-income children. We would like to measure changes in children’s dietary intake that occurred during the pandemic. Even with the return to school, those changes may persist if children set up preferences for the foods consumed when they were out of school. </w:t>
      </w:r>
      <w:r w:rsidR="0023767A">
        <w:rPr>
          <w:rFonts w:eastAsia="Calibri" w:cstheme="minorHAnsi"/>
          <w:color w:val="000000" w:themeColor="text1"/>
        </w:rPr>
        <w:t>L</w:t>
      </w:r>
      <w:r>
        <w:rPr>
          <w:rFonts w:eastAsia="Calibri" w:cstheme="minorHAnsi"/>
          <w:color w:val="000000" w:themeColor="text1"/>
        </w:rPr>
        <w:t>ow-income children didn’t have opportunities to eat at school.</w:t>
      </w:r>
    </w:p>
    <w:p w14:paraId="66411AD9" w14:textId="77777777" w:rsidR="0063011F" w:rsidRDefault="0063011F" w:rsidP="00216E7B">
      <w:pPr>
        <w:spacing w:line="276" w:lineRule="auto"/>
        <w:rPr>
          <w:rFonts w:cstheme="minorHAnsi"/>
          <w:color w:val="000000" w:themeColor="text1"/>
          <w:sz w:val="22"/>
          <w:szCs w:val="22"/>
          <w:u w:val="single"/>
        </w:rPr>
      </w:pPr>
    </w:p>
    <w:p w14:paraId="362F483E" w14:textId="18754768" w:rsidR="008B1B51" w:rsidRDefault="008B1B51" w:rsidP="00216E7B">
      <w:pPr>
        <w:spacing w:line="276" w:lineRule="auto"/>
        <w:rPr>
          <w:rFonts w:cstheme="minorHAnsi"/>
          <w:color w:val="000000" w:themeColor="text1"/>
          <w:sz w:val="22"/>
          <w:szCs w:val="22"/>
          <w:u w:val="single"/>
        </w:rPr>
      </w:pPr>
      <w:r>
        <w:rPr>
          <w:rFonts w:cstheme="minorHAnsi"/>
          <w:color w:val="000000" w:themeColor="text1"/>
          <w:sz w:val="22"/>
          <w:szCs w:val="22"/>
          <w:u w:val="single"/>
        </w:rPr>
        <w:t>Data Modernization</w:t>
      </w:r>
      <w:r w:rsidR="00514B58">
        <w:rPr>
          <w:rFonts w:cstheme="minorHAnsi"/>
          <w:color w:val="000000" w:themeColor="text1"/>
          <w:sz w:val="22"/>
          <w:szCs w:val="22"/>
          <w:u w:val="single"/>
        </w:rPr>
        <w:t xml:space="preserve"> </w:t>
      </w:r>
      <w:r>
        <w:rPr>
          <w:rFonts w:cstheme="minorHAnsi"/>
          <w:color w:val="000000" w:themeColor="text1"/>
          <w:sz w:val="22"/>
          <w:szCs w:val="22"/>
          <w:u w:val="single"/>
        </w:rPr>
        <w:t>Experiences from the World Obesity Federation</w:t>
      </w:r>
      <w:r w:rsidR="00F16FFD">
        <w:rPr>
          <w:rFonts w:cstheme="minorHAnsi"/>
          <w:color w:val="000000" w:themeColor="text1"/>
          <w:sz w:val="22"/>
          <w:szCs w:val="22"/>
          <w:u w:val="single"/>
        </w:rPr>
        <w:t xml:space="preserve"> (WOF)</w:t>
      </w:r>
      <w:r>
        <w:rPr>
          <w:rFonts w:cstheme="minorHAnsi"/>
          <w:color w:val="000000" w:themeColor="text1"/>
          <w:sz w:val="22"/>
          <w:szCs w:val="22"/>
          <w:u w:val="single"/>
        </w:rPr>
        <w:t xml:space="preserve"> and TOPCHILD Study </w:t>
      </w:r>
    </w:p>
    <w:p w14:paraId="1819FB76" w14:textId="2653B5F0" w:rsidR="00616FF4" w:rsidRDefault="00586F3E" w:rsidP="00216E7B">
      <w:pPr>
        <w:spacing w:line="276" w:lineRule="auto"/>
        <w:rPr>
          <w:rFonts w:cstheme="minorHAnsi"/>
          <w:color w:val="000000" w:themeColor="text1"/>
          <w:sz w:val="22"/>
          <w:szCs w:val="22"/>
        </w:rPr>
      </w:pPr>
      <w:r>
        <w:rPr>
          <w:rFonts w:cstheme="minorHAnsi"/>
          <w:color w:val="000000" w:themeColor="text1"/>
          <w:sz w:val="22"/>
          <w:szCs w:val="22"/>
        </w:rPr>
        <w:t>L. Baur</w:t>
      </w:r>
      <w:r w:rsidR="008B1B51">
        <w:rPr>
          <w:rFonts w:cstheme="minorHAnsi"/>
          <w:color w:val="000000" w:themeColor="text1"/>
          <w:sz w:val="22"/>
          <w:szCs w:val="22"/>
        </w:rPr>
        <w:t xml:space="preserve"> shared lessons from data use at WOF and</w:t>
      </w:r>
      <w:r w:rsidR="0077614A">
        <w:rPr>
          <w:rFonts w:cstheme="minorHAnsi"/>
          <w:color w:val="000000" w:themeColor="text1"/>
          <w:sz w:val="22"/>
          <w:szCs w:val="22"/>
        </w:rPr>
        <w:t xml:space="preserve"> </w:t>
      </w:r>
      <w:r w:rsidR="008B1B51">
        <w:rPr>
          <w:rFonts w:cstheme="minorHAnsi"/>
          <w:color w:val="000000" w:themeColor="text1"/>
          <w:sz w:val="22"/>
          <w:szCs w:val="22"/>
        </w:rPr>
        <w:t xml:space="preserve">in the </w:t>
      </w:r>
      <w:r w:rsidR="00EE553B">
        <w:rPr>
          <w:rFonts w:cstheme="minorHAnsi"/>
          <w:color w:val="000000" w:themeColor="text1"/>
          <w:sz w:val="22"/>
          <w:szCs w:val="22"/>
        </w:rPr>
        <w:t>Early Prevention of Obesity in Childhood (EPOCH) Collaboration</w:t>
      </w:r>
      <w:r w:rsidR="008B1B51">
        <w:rPr>
          <w:rFonts w:cstheme="minorHAnsi"/>
          <w:color w:val="000000" w:themeColor="text1"/>
          <w:sz w:val="22"/>
          <w:szCs w:val="22"/>
        </w:rPr>
        <w:t xml:space="preserve"> and</w:t>
      </w:r>
      <w:r w:rsidR="00EE6333">
        <w:rPr>
          <w:rFonts w:cstheme="minorHAnsi"/>
          <w:color w:val="000000" w:themeColor="text1"/>
          <w:sz w:val="22"/>
          <w:szCs w:val="22"/>
        </w:rPr>
        <w:t xml:space="preserve"> the Transforming Obesity Prevention for Children (</w:t>
      </w:r>
      <w:r w:rsidR="008B1B51">
        <w:rPr>
          <w:rFonts w:cstheme="minorHAnsi"/>
          <w:color w:val="000000" w:themeColor="text1"/>
          <w:sz w:val="22"/>
          <w:szCs w:val="22"/>
        </w:rPr>
        <w:t>TOPCHILD</w:t>
      </w:r>
      <w:r w:rsidR="00EE6333">
        <w:rPr>
          <w:rFonts w:cstheme="minorHAnsi"/>
          <w:color w:val="000000" w:themeColor="text1"/>
          <w:sz w:val="22"/>
          <w:szCs w:val="22"/>
        </w:rPr>
        <w:t>)</w:t>
      </w:r>
      <w:r w:rsidR="008B1B51">
        <w:rPr>
          <w:rFonts w:cstheme="minorHAnsi"/>
          <w:color w:val="000000" w:themeColor="text1"/>
          <w:sz w:val="22"/>
          <w:szCs w:val="22"/>
        </w:rPr>
        <w:t xml:space="preserve"> Study.</w:t>
      </w:r>
    </w:p>
    <w:p w14:paraId="3A470C16" w14:textId="77777777" w:rsidR="00514AB3" w:rsidRPr="00514AB3" w:rsidRDefault="00514AB3" w:rsidP="00216E7B">
      <w:pPr>
        <w:spacing w:line="276" w:lineRule="auto"/>
        <w:rPr>
          <w:rFonts w:cstheme="minorHAnsi"/>
          <w:color w:val="000000" w:themeColor="text1"/>
          <w:sz w:val="16"/>
          <w:szCs w:val="16"/>
        </w:rPr>
      </w:pPr>
    </w:p>
    <w:p w14:paraId="2372FCFA" w14:textId="686CA9E4" w:rsidR="005E0BAD" w:rsidRPr="008F5903" w:rsidRDefault="00714C7B" w:rsidP="00216E7B">
      <w:pPr>
        <w:pStyle w:val="ListParagraph"/>
        <w:numPr>
          <w:ilvl w:val="0"/>
          <w:numId w:val="29"/>
        </w:numPr>
        <w:shd w:val="clear" w:color="auto" w:fill="FFFFFF" w:themeFill="background1"/>
        <w:spacing w:after="0"/>
        <w:rPr>
          <w:rFonts w:cstheme="minorHAnsi"/>
          <w:color w:val="000000" w:themeColor="text1"/>
        </w:rPr>
      </w:pPr>
      <w:hyperlink r:id="rId43" w:history="1">
        <w:r w:rsidR="007D7B93" w:rsidRPr="008F5903">
          <w:rPr>
            <w:rStyle w:val="Hyperlink"/>
            <w:rFonts w:cstheme="minorHAnsi"/>
          </w:rPr>
          <w:t>WOF</w:t>
        </w:r>
      </w:hyperlink>
      <w:r w:rsidR="007D7B93" w:rsidRPr="008F5903">
        <w:rPr>
          <w:rFonts w:cstheme="minorHAnsi"/>
          <w:color w:val="000000" w:themeColor="text1"/>
        </w:rPr>
        <w:t xml:space="preserve"> engages in global advocacy, conven</w:t>
      </w:r>
      <w:r w:rsidR="00E62551" w:rsidRPr="008F5903">
        <w:rPr>
          <w:rFonts w:cstheme="minorHAnsi"/>
          <w:color w:val="000000" w:themeColor="text1"/>
        </w:rPr>
        <w:t>es</w:t>
      </w:r>
      <w:r w:rsidR="007D7B93" w:rsidRPr="008F5903">
        <w:rPr>
          <w:rFonts w:cstheme="minorHAnsi"/>
          <w:color w:val="000000" w:themeColor="text1"/>
        </w:rPr>
        <w:t xml:space="preserve"> stakeholders, </w:t>
      </w:r>
      <w:proofErr w:type="gramStart"/>
      <w:r w:rsidR="007D7B93" w:rsidRPr="008F5903">
        <w:rPr>
          <w:rFonts w:cstheme="minorHAnsi"/>
          <w:color w:val="000000" w:themeColor="text1"/>
        </w:rPr>
        <w:t>educates</w:t>
      </w:r>
      <w:proofErr w:type="gramEnd"/>
      <w:r w:rsidR="007D7B93" w:rsidRPr="008F5903">
        <w:rPr>
          <w:rFonts w:cstheme="minorHAnsi"/>
          <w:color w:val="000000" w:themeColor="text1"/>
        </w:rPr>
        <w:t xml:space="preserve"> and builds capacity, and generates evidence and data to drive global efforts to reduce, prevent, and treat obesity.</w:t>
      </w:r>
    </w:p>
    <w:p w14:paraId="1F123FCD" w14:textId="18820FAC" w:rsidR="008F5903" w:rsidRDefault="008C2212" w:rsidP="00216E7B">
      <w:pPr>
        <w:pStyle w:val="ListParagraph"/>
        <w:numPr>
          <w:ilvl w:val="0"/>
          <w:numId w:val="29"/>
        </w:numPr>
        <w:shd w:val="clear" w:color="auto" w:fill="FFFFFF" w:themeFill="background1"/>
        <w:spacing w:after="0"/>
        <w:rPr>
          <w:rFonts w:cstheme="minorHAnsi"/>
          <w:color w:val="000000" w:themeColor="text1"/>
        </w:rPr>
      </w:pPr>
      <w:r w:rsidRPr="008F5903">
        <w:rPr>
          <w:rFonts w:cstheme="minorHAnsi"/>
          <w:color w:val="000000" w:themeColor="text1"/>
        </w:rPr>
        <w:t xml:space="preserve">Examples of resources include the </w:t>
      </w:r>
      <w:hyperlink r:id="rId44" w:history="1">
        <w:r w:rsidRPr="002E6809">
          <w:rPr>
            <w:rStyle w:val="Hyperlink"/>
            <w:rFonts w:cstheme="minorHAnsi"/>
          </w:rPr>
          <w:t>World Obesity Atlas</w:t>
        </w:r>
      </w:hyperlink>
      <w:r w:rsidRPr="008F5903">
        <w:rPr>
          <w:rFonts w:cstheme="minorHAnsi"/>
          <w:color w:val="000000" w:themeColor="text1"/>
        </w:rPr>
        <w:t xml:space="preserve"> and </w:t>
      </w:r>
      <w:hyperlink r:id="rId45" w:history="1">
        <w:r w:rsidRPr="00726C03">
          <w:rPr>
            <w:rStyle w:val="Hyperlink"/>
            <w:rFonts w:cstheme="minorHAnsi"/>
          </w:rPr>
          <w:t>Global Obesity Observatory</w:t>
        </w:r>
      </w:hyperlink>
      <w:r w:rsidRPr="008F5903">
        <w:rPr>
          <w:rFonts w:cstheme="minorHAnsi"/>
          <w:color w:val="000000" w:themeColor="text1"/>
        </w:rPr>
        <w:t xml:space="preserve">, which </w:t>
      </w:r>
      <w:r w:rsidR="00662B18" w:rsidRPr="008F5903">
        <w:rPr>
          <w:rFonts w:cstheme="minorHAnsi"/>
          <w:color w:val="000000" w:themeColor="text1"/>
        </w:rPr>
        <w:t>leverage country- and region-specific data from multiple sources on</w:t>
      </w:r>
      <w:r w:rsidRPr="008F5903">
        <w:rPr>
          <w:rFonts w:cstheme="minorHAnsi"/>
          <w:color w:val="000000" w:themeColor="text1"/>
        </w:rPr>
        <w:t xml:space="preserve"> prevalence, risk factors, </w:t>
      </w:r>
      <w:r w:rsidRPr="008F5903">
        <w:rPr>
          <w:rFonts w:cstheme="minorHAnsi"/>
          <w:color w:val="000000" w:themeColor="text1"/>
        </w:rPr>
        <w:lastRenderedPageBreak/>
        <w:t xml:space="preserve">comorbidities, relevant policies, and more. </w:t>
      </w:r>
      <w:r w:rsidR="00662B18" w:rsidRPr="008F5903">
        <w:rPr>
          <w:rFonts w:cstheme="minorHAnsi"/>
          <w:color w:val="000000" w:themeColor="text1"/>
        </w:rPr>
        <w:t xml:space="preserve">Data have been used to compile country scorecards, regional atlases, and economic analyses. </w:t>
      </w:r>
    </w:p>
    <w:p w14:paraId="73E4216C" w14:textId="21164B87" w:rsidR="00AF03BF" w:rsidRDefault="00AF03BF" w:rsidP="00216E7B">
      <w:pPr>
        <w:pStyle w:val="ListParagraph"/>
        <w:numPr>
          <w:ilvl w:val="0"/>
          <w:numId w:val="29"/>
        </w:numPr>
        <w:shd w:val="clear" w:color="auto" w:fill="FFFFFF" w:themeFill="background1"/>
        <w:spacing w:after="0"/>
        <w:rPr>
          <w:rFonts w:cstheme="minorHAnsi"/>
          <w:color w:val="000000" w:themeColor="text1"/>
        </w:rPr>
      </w:pPr>
      <w:r w:rsidRPr="00AF03BF">
        <w:rPr>
          <w:rFonts w:cstheme="minorHAnsi"/>
          <w:color w:val="000000" w:themeColor="text1"/>
        </w:rPr>
        <w:t xml:space="preserve">The </w:t>
      </w:r>
      <w:hyperlink r:id="rId46" w:history="1">
        <w:r w:rsidRPr="00AF03BF">
          <w:rPr>
            <w:rStyle w:val="Hyperlink"/>
            <w:rFonts w:cstheme="minorHAnsi"/>
          </w:rPr>
          <w:t>2019 Atlas of Childhood Obesity</w:t>
        </w:r>
      </w:hyperlink>
      <w:r w:rsidRPr="00AF03BF">
        <w:rPr>
          <w:rFonts w:cstheme="minorHAnsi"/>
          <w:color w:val="000000" w:themeColor="text1"/>
        </w:rPr>
        <w:t xml:space="preserve"> provides </w:t>
      </w:r>
      <w:r>
        <w:rPr>
          <w:rFonts w:cstheme="minorHAnsi"/>
          <w:color w:val="000000" w:themeColor="text1"/>
        </w:rPr>
        <w:t>recent</w:t>
      </w:r>
      <w:r w:rsidRPr="00AF03BF">
        <w:rPr>
          <w:rFonts w:cstheme="minorHAnsi"/>
          <w:color w:val="000000" w:themeColor="text1"/>
        </w:rPr>
        <w:t xml:space="preserve"> estimates of infant, child</w:t>
      </w:r>
      <w:r w:rsidR="00837952">
        <w:rPr>
          <w:rFonts w:cstheme="minorHAnsi"/>
          <w:color w:val="000000" w:themeColor="text1"/>
        </w:rPr>
        <w:t>,</w:t>
      </w:r>
      <w:r w:rsidRPr="00AF03BF">
        <w:rPr>
          <w:rFonts w:cstheme="minorHAnsi"/>
          <w:color w:val="000000" w:themeColor="text1"/>
        </w:rPr>
        <w:t xml:space="preserve"> and adolescent obesity prevalence in 191 countries</w:t>
      </w:r>
      <w:r>
        <w:rPr>
          <w:rFonts w:cstheme="minorHAnsi"/>
          <w:color w:val="000000" w:themeColor="text1"/>
        </w:rPr>
        <w:t xml:space="preserve">. </w:t>
      </w:r>
      <w:r w:rsidR="006800DA">
        <w:rPr>
          <w:rFonts w:cstheme="minorHAnsi"/>
          <w:color w:val="000000" w:themeColor="text1"/>
        </w:rPr>
        <w:t>Prior to the pandemic, a</w:t>
      </w:r>
      <w:r>
        <w:rPr>
          <w:rFonts w:cstheme="minorHAnsi"/>
          <w:color w:val="000000" w:themeColor="text1"/>
        </w:rPr>
        <w:t>n estimated 160% increase</w:t>
      </w:r>
      <w:r w:rsidR="00BB1603">
        <w:rPr>
          <w:rFonts w:cstheme="minorHAnsi"/>
          <w:color w:val="000000" w:themeColor="text1"/>
        </w:rPr>
        <w:t xml:space="preserve"> was</w:t>
      </w:r>
      <w:r>
        <w:rPr>
          <w:rFonts w:cstheme="minorHAnsi"/>
          <w:color w:val="000000" w:themeColor="text1"/>
        </w:rPr>
        <w:t xml:space="preserve"> predicted for the number of </w:t>
      </w:r>
      <w:r w:rsidR="008F276A">
        <w:rPr>
          <w:rFonts w:cstheme="minorHAnsi"/>
          <w:color w:val="000000" w:themeColor="text1"/>
        </w:rPr>
        <w:t>5–19-year-olds</w:t>
      </w:r>
      <w:r>
        <w:rPr>
          <w:rFonts w:cstheme="minorHAnsi"/>
          <w:color w:val="000000" w:themeColor="text1"/>
        </w:rPr>
        <w:t xml:space="preserve"> (globally) with obesity by 2030</w:t>
      </w:r>
      <w:r w:rsidR="006800DA">
        <w:rPr>
          <w:rFonts w:cstheme="minorHAnsi"/>
          <w:color w:val="000000" w:themeColor="text1"/>
        </w:rPr>
        <w:t xml:space="preserve">; most countries predicted to have the </w:t>
      </w:r>
      <w:r w:rsidR="00BB1603">
        <w:rPr>
          <w:rFonts w:cstheme="minorHAnsi"/>
          <w:color w:val="000000" w:themeColor="text1"/>
        </w:rPr>
        <w:t>highest number of those</w:t>
      </w:r>
      <w:r w:rsidR="006800DA">
        <w:rPr>
          <w:rFonts w:cstheme="minorHAnsi"/>
          <w:color w:val="000000" w:themeColor="text1"/>
        </w:rPr>
        <w:t xml:space="preserve"> children with obesity are low- or middle-income countries.</w:t>
      </w:r>
    </w:p>
    <w:p w14:paraId="41AB963A" w14:textId="4AFDA4C8" w:rsidR="00EE553B" w:rsidRDefault="00EE553B" w:rsidP="00216E7B">
      <w:pPr>
        <w:pStyle w:val="ListParagraph"/>
        <w:numPr>
          <w:ilvl w:val="0"/>
          <w:numId w:val="29"/>
        </w:numPr>
        <w:shd w:val="clear" w:color="auto" w:fill="FFFFFF" w:themeFill="background1"/>
        <w:spacing w:after="0"/>
        <w:rPr>
          <w:rFonts w:cstheme="minorHAnsi"/>
          <w:color w:val="000000" w:themeColor="text1"/>
        </w:rPr>
      </w:pPr>
      <w:r>
        <w:rPr>
          <w:rFonts w:cstheme="minorHAnsi"/>
          <w:color w:val="000000" w:themeColor="text1"/>
        </w:rPr>
        <w:t xml:space="preserve">Lessons learned </w:t>
      </w:r>
      <w:proofErr w:type="gramStart"/>
      <w:r>
        <w:rPr>
          <w:rFonts w:cstheme="minorHAnsi"/>
          <w:color w:val="000000" w:themeColor="text1"/>
        </w:rPr>
        <w:t>include:</w:t>
      </w:r>
      <w:proofErr w:type="gramEnd"/>
      <w:r>
        <w:rPr>
          <w:rFonts w:cstheme="minorHAnsi"/>
          <w:color w:val="000000" w:themeColor="text1"/>
        </w:rPr>
        <w:t xml:space="preserve"> there is value in consolidating a range of data sources in one common platform that is easy to use, readily updated, and publicly available; these data summaries are especially useful for policy makers. </w:t>
      </w:r>
    </w:p>
    <w:p w14:paraId="75AE1419" w14:textId="39CC87FA" w:rsidR="000125E7" w:rsidRPr="00E1657A" w:rsidRDefault="00714C7B" w:rsidP="00216E7B">
      <w:pPr>
        <w:pStyle w:val="ListParagraph"/>
        <w:numPr>
          <w:ilvl w:val="0"/>
          <w:numId w:val="29"/>
        </w:numPr>
        <w:shd w:val="clear" w:color="auto" w:fill="FFFFFF" w:themeFill="background1"/>
        <w:spacing w:after="0"/>
        <w:rPr>
          <w:rFonts w:cstheme="minorHAnsi"/>
          <w:color w:val="000000" w:themeColor="text1"/>
        </w:rPr>
      </w:pPr>
      <w:hyperlink r:id="rId47" w:history="1">
        <w:r w:rsidR="00DA7968" w:rsidRPr="00747672">
          <w:rPr>
            <w:rStyle w:val="Hyperlink"/>
            <w:rFonts w:cstheme="minorHAnsi"/>
          </w:rPr>
          <w:t>EPOCH</w:t>
        </w:r>
      </w:hyperlink>
      <w:r w:rsidR="00DA7968" w:rsidRPr="000125E7">
        <w:rPr>
          <w:rFonts w:cstheme="minorHAnsi"/>
          <w:color w:val="000000" w:themeColor="text1"/>
        </w:rPr>
        <w:t xml:space="preserve"> was initially four Australasian trials that aimed to prevent obesity by 2 years of age; researchers agreed to share and combine data from these trials to enable a </w:t>
      </w:r>
      <w:r w:rsidR="00DA7968" w:rsidRPr="000125E7">
        <w:rPr>
          <w:rFonts w:cstheme="minorHAnsi"/>
          <w:color w:val="000000" w:themeColor="text1"/>
          <w:lang w:val="en-AU"/>
        </w:rPr>
        <w:t>prospective individual participant data</w:t>
      </w:r>
      <w:r w:rsidR="000125E7" w:rsidRPr="000125E7">
        <w:rPr>
          <w:rFonts w:cstheme="minorHAnsi"/>
          <w:color w:val="000000" w:themeColor="text1"/>
          <w:lang w:val="en-AU"/>
        </w:rPr>
        <w:t xml:space="preserve"> (IPD)</w:t>
      </w:r>
      <w:r w:rsidR="00DA7968" w:rsidRPr="000125E7">
        <w:rPr>
          <w:rFonts w:cstheme="minorHAnsi"/>
          <w:color w:val="000000" w:themeColor="text1"/>
          <w:lang w:val="en-AU"/>
        </w:rPr>
        <w:t xml:space="preserve"> </w:t>
      </w:r>
      <w:r w:rsidR="008851D7" w:rsidRPr="000125E7">
        <w:rPr>
          <w:rFonts w:cstheme="minorHAnsi"/>
          <w:color w:val="000000" w:themeColor="text1"/>
          <w:lang w:val="en-AU"/>
        </w:rPr>
        <w:t xml:space="preserve">prospective </w:t>
      </w:r>
      <w:r w:rsidR="00DA7968" w:rsidRPr="000125E7">
        <w:rPr>
          <w:rFonts w:cstheme="minorHAnsi"/>
          <w:color w:val="000000" w:themeColor="text1"/>
          <w:lang w:val="en-AU"/>
        </w:rPr>
        <w:t>meta-analysis</w:t>
      </w:r>
      <w:r w:rsidR="008851D7" w:rsidRPr="000125E7">
        <w:rPr>
          <w:rFonts w:cstheme="minorHAnsi"/>
          <w:color w:val="000000" w:themeColor="text1"/>
          <w:lang w:val="en-AU"/>
        </w:rPr>
        <w:t xml:space="preserve"> (PMA)</w:t>
      </w:r>
      <w:r w:rsidR="008851D7">
        <w:rPr>
          <w:rStyle w:val="FootnoteReference"/>
          <w:rFonts w:cstheme="minorHAnsi"/>
          <w:color w:val="000000" w:themeColor="text1"/>
          <w:lang w:val="en-AU"/>
        </w:rPr>
        <w:footnoteReference w:id="2"/>
      </w:r>
      <w:r w:rsidR="008851D7" w:rsidRPr="000125E7">
        <w:rPr>
          <w:rFonts w:cstheme="minorHAnsi"/>
          <w:color w:val="000000" w:themeColor="text1"/>
          <w:lang w:val="en-AU"/>
        </w:rPr>
        <w:t xml:space="preserve">. </w:t>
      </w:r>
      <w:r w:rsidR="000125E7" w:rsidRPr="000125E7">
        <w:rPr>
          <w:rFonts w:cstheme="minorHAnsi"/>
          <w:color w:val="000000" w:themeColor="text1"/>
          <w:lang w:val="en-AU"/>
        </w:rPr>
        <w:t>An IPD meta-analysis involves central collection of raw data for each participant in the original trials, sourced directly from each study’s researchers; this is the gold-standard for meta-analyses and allows more complex analyses</w:t>
      </w:r>
      <w:r w:rsidR="000125E7">
        <w:rPr>
          <w:rFonts w:cstheme="minorHAnsi"/>
          <w:color w:val="000000" w:themeColor="text1"/>
          <w:lang w:val="en-AU"/>
        </w:rPr>
        <w:t>.</w:t>
      </w:r>
    </w:p>
    <w:p w14:paraId="45545A4A" w14:textId="5E5AF3AB" w:rsidR="000125E7" w:rsidRPr="00EE6333" w:rsidRDefault="00E1657A" w:rsidP="00216E7B">
      <w:pPr>
        <w:pStyle w:val="ListParagraph"/>
        <w:numPr>
          <w:ilvl w:val="0"/>
          <w:numId w:val="29"/>
        </w:numPr>
        <w:shd w:val="clear" w:color="auto" w:fill="FFFFFF" w:themeFill="background1"/>
        <w:spacing w:after="0"/>
        <w:rPr>
          <w:rFonts w:cstheme="minorHAnsi"/>
          <w:color w:val="000000" w:themeColor="text1"/>
        </w:rPr>
      </w:pPr>
      <w:r>
        <w:rPr>
          <w:rFonts w:cstheme="minorHAnsi"/>
          <w:color w:val="000000" w:themeColor="text1"/>
          <w:lang w:val="en-AU"/>
        </w:rPr>
        <w:t>Two-year results from ~2,200 dyads found that compared to usual care, early intervention led to modestly reduced BMI z-scores, prolonged breastfeeding, and reduced TV viewing time.</w:t>
      </w:r>
      <w:r w:rsidR="002E48B0">
        <w:rPr>
          <w:rStyle w:val="FootnoteReference"/>
          <w:rFonts w:cstheme="minorHAnsi"/>
          <w:color w:val="000000" w:themeColor="text1"/>
          <w:lang w:val="en-AU"/>
        </w:rPr>
        <w:footnoteReference w:id="3"/>
      </w:r>
      <w:r w:rsidR="00EE6333">
        <w:rPr>
          <w:rFonts w:cstheme="minorHAnsi"/>
          <w:color w:val="000000" w:themeColor="text1"/>
          <w:lang w:val="en-AU"/>
        </w:rPr>
        <w:t xml:space="preserve"> </w:t>
      </w:r>
      <w:r w:rsidR="00EE6333" w:rsidRPr="00EE6333">
        <w:rPr>
          <w:rFonts w:cstheme="minorHAnsi"/>
          <w:color w:val="000000" w:themeColor="text1"/>
          <w:lang w:val="en-AU"/>
        </w:rPr>
        <w:t>Positive initial effects on BMI z-scores at age 2 were not apparent by ages 3.5 and 5</w:t>
      </w:r>
      <w:r w:rsidR="00EE6333">
        <w:rPr>
          <w:rFonts w:cstheme="minorHAnsi"/>
          <w:color w:val="000000" w:themeColor="text1"/>
          <w:lang w:val="en-AU"/>
        </w:rPr>
        <w:t xml:space="preserve"> years.</w:t>
      </w:r>
      <w:r w:rsidR="00EE6333">
        <w:rPr>
          <w:rStyle w:val="FootnoteReference"/>
          <w:rFonts w:cstheme="minorHAnsi"/>
          <w:color w:val="000000" w:themeColor="text1"/>
          <w:lang w:val="en-AU"/>
        </w:rPr>
        <w:footnoteReference w:id="4"/>
      </w:r>
    </w:p>
    <w:p w14:paraId="719337A5" w14:textId="307F1FAA" w:rsidR="004E65FD" w:rsidRPr="004E65FD" w:rsidRDefault="00714C7B" w:rsidP="00216E7B">
      <w:pPr>
        <w:pStyle w:val="ListParagraph"/>
        <w:numPr>
          <w:ilvl w:val="0"/>
          <w:numId w:val="29"/>
        </w:numPr>
        <w:shd w:val="clear" w:color="auto" w:fill="FFFFFF" w:themeFill="background1"/>
        <w:spacing w:after="0"/>
        <w:rPr>
          <w:rFonts w:cstheme="minorHAnsi"/>
          <w:color w:val="000000" w:themeColor="text1"/>
        </w:rPr>
      </w:pPr>
      <w:hyperlink r:id="rId48" w:history="1">
        <w:r w:rsidR="004E65FD" w:rsidRPr="004E65FD">
          <w:rPr>
            <w:rStyle w:val="Hyperlink"/>
            <w:rFonts w:cstheme="minorHAnsi"/>
          </w:rPr>
          <w:t>TOPCHILD</w:t>
        </w:r>
      </w:hyperlink>
      <w:r w:rsidR="004E65FD" w:rsidRPr="004E65FD">
        <w:rPr>
          <w:rFonts w:cstheme="minorHAnsi"/>
          <w:color w:val="000000" w:themeColor="text1"/>
        </w:rPr>
        <w:t xml:space="preserve"> brings together all </w:t>
      </w:r>
      <w:r w:rsidR="004E65FD" w:rsidRPr="004E65FD">
        <w:rPr>
          <w:rFonts w:cstheme="minorHAnsi"/>
          <w:color w:val="000000" w:themeColor="text1"/>
          <w:lang w:val="en-AU"/>
        </w:rPr>
        <w:t>completed, planned</w:t>
      </w:r>
      <w:r w:rsidR="00837952">
        <w:rPr>
          <w:rFonts w:cstheme="minorHAnsi"/>
          <w:color w:val="000000" w:themeColor="text1"/>
          <w:lang w:val="en-AU"/>
        </w:rPr>
        <w:t>,</w:t>
      </w:r>
      <w:r w:rsidR="004E65FD" w:rsidRPr="004E65FD">
        <w:rPr>
          <w:rFonts w:cstheme="minorHAnsi"/>
          <w:color w:val="000000" w:themeColor="text1"/>
          <w:lang w:val="en-AU"/>
        </w:rPr>
        <w:t xml:space="preserve"> and ongoing trials on early childhood obesity prevention to identify which </w:t>
      </w:r>
      <w:proofErr w:type="spellStart"/>
      <w:r w:rsidR="004E65FD">
        <w:rPr>
          <w:rFonts w:cstheme="minorHAnsi"/>
          <w:color w:val="000000" w:themeColor="text1"/>
          <w:lang w:val="en-AU"/>
        </w:rPr>
        <w:t>behavior</w:t>
      </w:r>
      <w:r w:rsidR="00837952">
        <w:rPr>
          <w:rFonts w:cstheme="minorHAnsi"/>
          <w:color w:val="000000" w:themeColor="text1"/>
          <w:lang w:val="en-AU"/>
        </w:rPr>
        <w:t>al</w:t>
      </w:r>
      <w:proofErr w:type="spellEnd"/>
      <w:r w:rsidR="004E65FD">
        <w:rPr>
          <w:rFonts w:cstheme="minorHAnsi"/>
          <w:color w:val="000000" w:themeColor="text1"/>
          <w:lang w:val="en-AU"/>
        </w:rPr>
        <w:t xml:space="preserve"> </w:t>
      </w:r>
      <w:r w:rsidR="004E65FD" w:rsidRPr="004E65FD">
        <w:rPr>
          <w:rFonts w:cstheme="minorHAnsi"/>
          <w:color w:val="000000" w:themeColor="text1"/>
          <w:lang w:val="en-AU"/>
        </w:rPr>
        <w:t xml:space="preserve">intervention components are most effective and for whom. </w:t>
      </w:r>
      <w:r w:rsidR="004E65FD">
        <w:rPr>
          <w:rFonts w:cstheme="minorHAnsi"/>
          <w:color w:val="000000" w:themeColor="text1"/>
          <w:lang w:val="en-AU"/>
        </w:rPr>
        <w:t>Forty-nine</w:t>
      </w:r>
      <w:r w:rsidR="004E65FD" w:rsidRPr="004E65FD">
        <w:rPr>
          <w:rFonts w:cstheme="minorHAnsi"/>
          <w:color w:val="000000" w:themeColor="text1"/>
          <w:lang w:val="en-AU"/>
        </w:rPr>
        <w:t xml:space="preserve"> trials including ~40,000 participants have joined TOPCHILD and agreed to share data</w:t>
      </w:r>
      <w:r w:rsidR="004E65FD">
        <w:rPr>
          <w:rFonts w:cstheme="minorHAnsi"/>
          <w:color w:val="000000" w:themeColor="text1"/>
          <w:lang w:val="en-AU"/>
        </w:rPr>
        <w:t>.</w:t>
      </w:r>
    </w:p>
    <w:p w14:paraId="4C45B388" w14:textId="57DE44AF" w:rsidR="00616FF4" w:rsidRPr="00836AFB" w:rsidRDefault="004E65FD" w:rsidP="00216E7B">
      <w:pPr>
        <w:pStyle w:val="ListParagraph"/>
        <w:numPr>
          <w:ilvl w:val="0"/>
          <w:numId w:val="20"/>
        </w:numPr>
        <w:spacing w:after="0"/>
        <w:rPr>
          <w:rFonts w:cstheme="minorHAnsi"/>
          <w:color w:val="000000" w:themeColor="text1"/>
        </w:rPr>
      </w:pPr>
      <w:r w:rsidRPr="00836AFB">
        <w:rPr>
          <w:rFonts w:cstheme="minorHAnsi"/>
          <w:color w:val="000000" w:themeColor="text1"/>
        </w:rPr>
        <w:t xml:space="preserve">Behavioral interventions are often </w:t>
      </w:r>
      <w:r w:rsidR="00616FF4" w:rsidRPr="00836AFB">
        <w:rPr>
          <w:rFonts w:cstheme="minorHAnsi"/>
          <w:color w:val="000000" w:themeColor="text1"/>
        </w:rPr>
        <w:t xml:space="preserve">complex </w:t>
      </w:r>
      <w:r w:rsidRPr="00836AFB">
        <w:rPr>
          <w:rFonts w:cstheme="minorHAnsi"/>
          <w:color w:val="000000" w:themeColor="text1"/>
        </w:rPr>
        <w:t>and use</w:t>
      </w:r>
      <w:r w:rsidR="00616FF4" w:rsidRPr="00836AFB">
        <w:rPr>
          <w:rFonts w:cstheme="minorHAnsi"/>
          <w:color w:val="000000" w:themeColor="text1"/>
        </w:rPr>
        <w:t xml:space="preserve"> multiple strategies. </w:t>
      </w:r>
      <w:r w:rsidRPr="00836AFB">
        <w:rPr>
          <w:rFonts w:cstheme="minorHAnsi"/>
          <w:color w:val="000000" w:themeColor="text1"/>
        </w:rPr>
        <w:t>Seve</w:t>
      </w:r>
      <w:r w:rsidR="00616FF4" w:rsidRPr="00836AFB">
        <w:rPr>
          <w:rFonts w:cstheme="minorHAnsi"/>
          <w:color w:val="000000" w:themeColor="text1"/>
        </w:rPr>
        <w:t>ral taxonomies and ontologies</w:t>
      </w:r>
      <w:r w:rsidRPr="00836AFB">
        <w:rPr>
          <w:rFonts w:cstheme="minorHAnsi"/>
          <w:color w:val="000000" w:themeColor="text1"/>
        </w:rPr>
        <w:t xml:space="preserve"> are available </w:t>
      </w:r>
      <w:r w:rsidRPr="00836AFB">
        <w:rPr>
          <w:rFonts w:cstheme="minorHAnsi"/>
          <w:color w:val="000000" w:themeColor="text1"/>
          <w:lang w:val="en-AU"/>
        </w:rPr>
        <w:t>to understand interventions and their discrete components</w:t>
      </w:r>
      <w:r w:rsidR="00616FF4" w:rsidRPr="00836AFB">
        <w:rPr>
          <w:rFonts w:cstheme="minorHAnsi"/>
          <w:color w:val="000000" w:themeColor="text1"/>
        </w:rPr>
        <w:t xml:space="preserve"> </w:t>
      </w:r>
      <w:r w:rsidRPr="00836AFB">
        <w:rPr>
          <w:rFonts w:cstheme="minorHAnsi"/>
          <w:color w:val="000000" w:themeColor="text1"/>
        </w:rPr>
        <w:t xml:space="preserve">to examine which components are driving intervention effectiveness. </w:t>
      </w:r>
      <w:r w:rsidR="00836AFB" w:rsidRPr="00836AFB">
        <w:rPr>
          <w:rFonts w:cstheme="minorHAnsi"/>
          <w:color w:val="000000" w:themeColor="text1"/>
        </w:rPr>
        <w:t xml:space="preserve">New generation methods for data sharing and analysis provide richer </w:t>
      </w:r>
      <w:r w:rsidR="00F513BC" w:rsidRPr="00836AFB">
        <w:rPr>
          <w:rFonts w:cstheme="minorHAnsi"/>
          <w:color w:val="000000" w:themeColor="text1"/>
        </w:rPr>
        <w:t>insights but</w:t>
      </w:r>
      <w:r w:rsidR="00836AFB" w:rsidRPr="00836AFB">
        <w:rPr>
          <w:rFonts w:cstheme="minorHAnsi"/>
          <w:color w:val="000000" w:themeColor="text1"/>
        </w:rPr>
        <w:t xml:space="preserve"> require </w:t>
      </w:r>
      <w:r w:rsidR="00836AFB">
        <w:rPr>
          <w:rFonts w:cstheme="minorHAnsi"/>
          <w:color w:val="000000" w:themeColor="text1"/>
        </w:rPr>
        <w:t xml:space="preserve">an experienced core team who can manage the researcher collaboration and the intricacies of processes needed </w:t>
      </w:r>
      <w:r w:rsidR="00837952">
        <w:rPr>
          <w:rFonts w:cstheme="minorHAnsi"/>
          <w:color w:val="000000" w:themeColor="text1"/>
        </w:rPr>
        <w:t xml:space="preserve">to </w:t>
      </w:r>
      <w:r w:rsidR="00836AFB">
        <w:rPr>
          <w:rFonts w:cstheme="minorHAnsi"/>
          <w:color w:val="000000" w:themeColor="text1"/>
        </w:rPr>
        <w:t xml:space="preserve">establish protocols, statistical analyses plans, data interpretation, and publication and dissemination.  </w:t>
      </w:r>
    </w:p>
    <w:p w14:paraId="686ABC47" w14:textId="77777777" w:rsidR="008C7430" w:rsidRDefault="008C7430" w:rsidP="00216E7B">
      <w:pPr>
        <w:spacing w:line="276" w:lineRule="auto"/>
        <w:rPr>
          <w:rFonts w:eastAsia="Calibri" w:cstheme="minorHAnsi"/>
          <w:b/>
          <w:bCs/>
          <w:color w:val="000000" w:themeColor="text1"/>
          <w:sz w:val="22"/>
          <w:szCs w:val="22"/>
        </w:rPr>
      </w:pPr>
    </w:p>
    <w:p w14:paraId="51692BB5" w14:textId="3AF7FE7B" w:rsidR="00616FF4" w:rsidRPr="00616FF4" w:rsidRDefault="0063011F" w:rsidP="00216E7B">
      <w:pPr>
        <w:spacing w:line="276" w:lineRule="auto"/>
        <w:rPr>
          <w:rFonts w:eastAsia="Calibri" w:cstheme="minorHAnsi"/>
          <w:color w:val="000000" w:themeColor="text1"/>
          <w:sz w:val="22"/>
          <w:szCs w:val="22"/>
        </w:rPr>
      </w:pPr>
      <w:r>
        <w:rPr>
          <w:rFonts w:eastAsia="Calibri" w:cstheme="minorHAnsi"/>
          <w:b/>
          <w:bCs/>
          <w:color w:val="000000" w:themeColor="text1"/>
          <w:sz w:val="22"/>
          <w:szCs w:val="22"/>
        </w:rPr>
        <w:t>Q&amp;A with Dr. Baur</w:t>
      </w:r>
    </w:p>
    <w:p w14:paraId="7A549512" w14:textId="77777777" w:rsidR="0063011F" w:rsidRDefault="0063011F" w:rsidP="00216E7B">
      <w:pPr>
        <w:spacing w:line="276" w:lineRule="auto"/>
        <w:rPr>
          <w:rFonts w:eastAsia="Calibri" w:cstheme="minorHAnsi"/>
          <w:i/>
          <w:iCs/>
          <w:color w:val="000000" w:themeColor="text1"/>
          <w:sz w:val="22"/>
          <w:szCs w:val="22"/>
        </w:rPr>
      </w:pPr>
    </w:p>
    <w:p w14:paraId="78D170BB" w14:textId="0D444DAE" w:rsidR="00616FF4" w:rsidRDefault="003D71C9" w:rsidP="00216E7B">
      <w:pPr>
        <w:spacing w:line="276" w:lineRule="auto"/>
        <w:rPr>
          <w:rFonts w:eastAsia="Calibri" w:cstheme="minorHAnsi"/>
          <w:i/>
          <w:iCs/>
          <w:color w:val="000000" w:themeColor="text1"/>
          <w:sz w:val="22"/>
          <w:szCs w:val="22"/>
        </w:rPr>
      </w:pPr>
      <w:r>
        <w:rPr>
          <w:rFonts w:eastAsia="Calibri" w:cstheme="minorHAnsi"/>
          <w:i/>
          <w:iCs/>
          <w:color w:val="000000" w:themeColor="text1"/>
          <w:sz w:val="22"/>
          <w:szCs w:val="22"/>
        </w:rPr>
        <w:t>K.</w:t>
      </w:r>
      <w:r w:rsidR="00A1198E">
        <w:rPr>
          <w:rFonts w:eastAsia="Calibri" w:cstheme="minorHAnsi"/>
          <w:i/>
          <w:iCs/>
          <w:color w:val="000000" w:themeColor="text1"/>
          <w:sz w:val="22"/>
          <w:szCs w:val="22"/>
        </w:rPr>
        <w:t xml:space="preserve"> </w:t>
      </w:r>
      <w:r>
        <w:rPr>
          <w:rFonts w:eastAsia="Calibri" w:cstheme="minorHAnsi"/>
          <w:i/>
          <w:iCs/>
          <w:color w:val="000000" w:themeColor="text1"/>
          <w:sz w:val="22"/>
          <w:szCs w:val="22"/>
        </w:rPr>
        <w:t xml:space="preserve">Hilyard: How can national governments make the case for prioritizing global childhood obesity alongside domestic childhood obesity? </w:t>
      </w:r>
    </w:p>
    <w:p w14:paraId="1566B797" w14:textId="32A1E6B6" w:rsidR="003D71C9" w:rsidRPr="003D71C9" w:rsidRDefault="003D71C9" w:rsidP="00216E7B">
      <w:pPr>
        <w:pStyle w:val="ListParagraph"/>
        <w:numPr>
          <w:ilvl w:val="0"/>
          <w:numId w:val="34"/>
        </w:numPr>
        <w:spacing w:after="0"/>
        <w:ind w:left="360"/>
        <w:rPr>
          <w:rFonts w:eastAsia="Calibri" w:cstheme="minorHAnsi"/>
          <w:color w:val="000000" w:themeColor="text1"/>
        </w:rPr>
      </w:pPr>
      <w:r>
        <w:rPr>
          <w:rFonts w:eastAsia="Calibri" w:cstheme="minorHAnsi"/>
          <w:color w:val="000000" w:themeColor="text1"/>
        </w:rPr>
        <w:t xml:space="preserve">L. Baur: Collaborative grant opportunities may exist for regions to work together to share data, resources, and ideas, perhaps through establishing centers for research excellence. </w:t>
      </w:r>
      <w:r w:rsidR="005D2030">
        <w:rPr>
          <w:rFonts w:eastAsia="Calibri" w:cstheme="minorHAnsi"/>
          <w:color w:val="000000" w:themeColor="text1"/>
        </w:rPr>
        <w:t xml:space="preserve">It takes time to develop </w:t>
      </w:r>
      <w:r w:rsidR="006E09B9">
        <w:rPr>
          <w:rFonts w:eastAsia="Calibri" w:cstheme="minorHAnsi"/>
          <w:color w:val="000000" w:themeColor="text1"/>
        </w:rPr>
        <w:t>trusted relationships and establish the infrastructure for this kind of collaboration.</w:t>
      </w:r>
    </w:p>
    <w:p w14:paraId="5662238F" w14:textId="77777777" w:rsidR="006E09B9" w:rsidRDefault="006E09B9" w:rsidP="00216E7B">
      <w:pPr>
        <w:spacing w:line="276" w:lineRule="auto"/>
        <w:rPr>
          <w:rFonts w:eastAsia="Calibri" w:cstheme="minorHAnsi"/>
          <w:i/>
          <w:iCs/>
          <w:color w:val="000000" w:themeColor="text1"/>
          <w:sz w:val="22"/>
          <w:szCs w:val="22"/>
        </w:rPr>
      </w:pPr>
    </w:p>
    <w:p w14:paraId="374B9492" w14:textId="132F5758" w:rsidR="00D950B3" w:rsidRDefault="0063011F" w:rsidP="00216E7B">
      <w:pPr>
        <w:spacing w:line="276" w:lineRule="auto"/>
        <w:rPr>
          <w:rFonts w:eastAsia="Calibri" w:cstheme="minorHAnsi"/>
          <w:i/>
          <w:iCs/>
          <w:color w:val="000000" w:themeColor="text1"/>
          <w:sz w:val="22"/>
          <w:szCs w:val="22"/>
        </w:rPr>
      </w:pPr>
      <w:r w:rsidRPr="00D950B3">
        <w:rPr>
          <w:rFonts w:eastAsia="Calibri" w:cstheme="minorHAnsi"/>
          <w:i/>
          <w:iCs/>
          <w:color w:val="000000" w:themeColor="text1"/>
          <w:sz w:val="22"/>
          <w:szCs w:val="22"/>
        </w:rPr>
        <w:lastRenderedPageBreak/>
        <w:t xml:space="preserve">M. Ehmke: </w:t>
      </w:r>
      <w:r w:rsidR="00616FF4" w:rsidRPr="00D950B3">
        <w:rPr>
          <w:rFonts w:eastAsia="Calibri" w:cstheme="minorHAnsi"/>
          <w:i/>
          <w:iCs/>
          <w:color w:val="000000" w:themeColor="text1"/>
          <w:sz w:val="22"/>
          <w:szCs w:val="22"/>
        </w:rPr>
        <w:t>How have they been able to link with general hospital and health system data from their studies in NZ and Aus</w:t>
      </w:r>
      <w:r w:rsidR="00D950B3">
        <w:rPr>
          <w:rFonts w:eastAsia="Calibri" w:cstheme="minorHAnsi"/>
          <w:i/>
          <w:iCs/>
          <w:color w:val="000000" w:themeColor="text1"/>
          <w:sz w:val="22"/>
          <w:szCs w:val="22"/>
        </w:rPr>
        <w:t>tralia</w:t>
      </w:r>
      <w:r w:rsidR="00616FF4" w:rsidRPr="00D950B3">
        <w:rPr>
          <w:rFonts w:eastAsia="Calibri" w:cstheme="minorHAnsi"/>
          <w:i/>
          <w:iCs/>
          <w:color w:val="000000" w:themeColor="text1"/>
          <w:sz w:val="22"/>
          <w:szCs w:val="22"/>
        </w:rPr>
        <w:t xml:space="preserve"> to government data?</w:t>
      </w:r>
    </w:p>
    <w:p w14:paraId="1D273345" w14:textId="3F65475D" w:rsidR="00616FF4" w:rsidRPr="00754259" w:rsidRDefault="00D950B3" w:rsidP="00216E7B">
      <w:pPr>
        <w:pStyle w:val="ListParagraph"/>
        <w:numPr>
          <w:ilvl w:val="0"/>
          <w:numId w:val="34"/>
        </w:numPr>
        <w:spacing w:after="0"/>
        <w:ind w:left="360"/>
        <w:rPr>
          <w:rFonts w:eastAsia="Calibri" w:cstheme="minorHAnsi"/>
          <w:color w:val="000000" w:themeColor="text1"/>
        </w:rPr>
      </w:pPr>
      <w:r w:rsidRPr="00754259">
        <w:rPr>
          <w:rFonts w:eastAsia="Calibri" w:cstheme="minorHAnsi"/>
          <w:color w:val="000000" w:themeColor="text1"/>
        </w:rPr>
        <w:t xml:space="preserve">L. Baur: </w:t>
      </w:r>
      <w:r w:rsidR="00616FF4" w:rsidRPr="00754259">
        <w:rPr>
          <w:rFonts w:eastAsia="Calibri" w:cstheme="minorHAnsi"/>
          <w:color w:val="000000" w:themeColor="text1"/>
        </w:rPr>
        <w:t>For the Healthy Beginnings Trial, one of the included studies within the EPOCH Collaboration prospective meta-analysis</w:t>
      </w:r>
      <w:r w:rsidR="00754259" w:rsidRPr="00754259">
        <w:rPr>
          <w:rFonts w:eastAsia="Calibri" w:cstheme="minorHAnsi"/>
          <w:color w:val="000000" w:themeColor="text1"/>
        </w:rPr>
        <w:t xml:space="preserve"> obtained</w:t>
      </w:r>
      <w:r w:rsidR="00616FF4" w:rsidRPr="00754259">
        <w:rPr>
          <w:rFonts w:eastAsia="Calibri" w:cstheme="minorHAnsi"/>
          <w:color w:val="000000" w:themeColor="text1"/>
        </w:rPr>
        <w:t xml:space="preserve"> prospective consent from parents to access routinely collected administrative data on health care expenditure. </w:t>
      </w:r>
      <w:r w:rsidR="00754259" w:rsidRPr="00754259">
        <w:rPr>
          <w:rFonts w:eastAsia="Calibri" w:cstheme="minorHAnsi"/>
          <w:color w:val="000000" w:themeColor="text1"/>
        </w:rPr>
        <w:t xml:space="preserve">Because </w:t>
      </w:r>
      <w:r w:rsidR="00616FF4" w:rsidRPr="00754259">
        <w:rPr>
          <w:rFonts w:eastAsia="Calibri" w:cstheme="minorHAnsi"/>
          <w:color w:val="000000" w:themeColor="text1"/>
        </w:rPr>
        <w:t xml:space="preserve">universal health coverage </w:t>
      </w:r>
      <w:r w:rsidR="00754259" w:rsidRPr="00754259">
        <w:rPr>
          <w:rFonts w:eastAsia="Calibri" w:cstheme="minorHAnsi"/>
          <w:color w:val="000000" w:themeColor="text1"/>
        </w:rPr>
        <w:t xml:space="preserve">exists </w:t>
      </w:r>
      <w:r w:rsidR="00616FF4" w:rsidRPr="00754259">
        <w:rPr>
          <w:rFonts w:eastAsia="Calibri" w:cstheme="minorHAnsi"/>
          <w:color w:val="000000" w:themeColor="text1"/>
        </w:rPr>
        <w:t>in Australia, plus subsidi</w:t>
      </w:r>
      <w:r w:rsidR="00754259" w:rsidRPr="00754259">
        <w:rPr>
          <w:rFonts w:eastAsia="Calibri" w:cstheme="minorHAnsi"/>
          <w:color w:val="000000" w:themeColor="text1"/>
        </w:rPr>
        <w:t>z</w:t>
      </w:r>
      <w:r w:rsidR="00616FF4" w:rsidRPr="00754259">
        <w:rPr>
          <w:rFonts w:eastAsia="Calibri" w:cstheme="minorHAnsi"/>
          <w:color w:val="000000" w:themeColor="text1"/>
        </w:rPr>
        <w:t>ed access to many drug therapies</w:t>
      </w:r>
      <w:r w:rsidR="00754259" w:rsidRPr="00754259">
        <w:rPr>
          <w:rFonts w:eastAsia="Calibri" w:cstheme="minorHAnsi"/>
          <w:color w:val="000000" w:themeColor="text1"/>
        </w:rPr>
        <w:t xml:space="preserve">, </w:t>
      </w:r>
      <w:r w:rsidR="00616FF4" w:rsidRPr="00754259">
        <w:rPr>
          <w:rFonts w:eastAsia="Calibri" w:cstheme="minorHAnsi"/>
          <w:color w:val="000000" w:themeColor="text1"/>
        </w:rPr>
        <w:t>data on health care utili</w:t>
      </w:r>
      <w:r w:rsidR="00754259" w:rsidRPr="00754259">
        <w:rPr>
          <w:rFonts w:eastAsia="Calibri" w:cstheme="minorHAnsi"/>
          <w:color w:val="000000" w:themeColor="text1"/>
        </w:rPr>
        <w:t>z</w:t>
      </w:r>
      <w:r w:rsidR="00616FF4" w:rsidRPr="00754259">
        <w:rPr>
          <w:rFonts w:eastAsia="Calibri" w:cstheme="minorHAnsi"/>
          <w:color w:val="000000" w:themeColor="text1"/>
        </w:rPr>
        <w:t>atio</w:t>
      </w:r>
      <w:r w:rsidR="00754259" w:rsidRPr="00754259">
        <w:rPr>
          <w:rFonts w:eastAsia="Calibri" w:cstheme="minorHAnsi"/>
          <w:color w:val="000000" w:themeColor="text1"/>
        </w:rPr>
        <w:t xml:space="preserve">n (e.g., </w:t>
      </w:r>
      <w:r w:rsidR="00616FF4" w:rsidRPr="00754259">
        <w:rPr>
          <w:rFonts w:eastAsia="Calibri" w:cstheme="minorHAnsi"/>
          <w:color w:val="000000" w:themeColor="text1"/>
        </w:rPr>
        <w:t>hospitali</w:t>
      </w:r>
      <w:r w:rsidR="00754259" w:rsidRPr="00754259">
        <w:rPr>
          <w:rFonts w:eastAsia="Calibri" w:cstheme="minorHAnsi"/>
          <w:color w:val="000000" w:themeColor="text1"/>
        </w:rPr>
        <w:t>z</w:t>
      </w:r>
      <w:r w:rsidR="00616FF4" w:rsidRPr="00754259">
        <w:rPr>
          <w:rFonts w:eastAsia="Calibri" w:cstheme="minorHAnsi"/>
          <w:color w:val="000000" w:themeColor="text1"/>
        </w:rPr>
        <w:t>ation, doctor visits</w:t>
      </w:r>
      <w:r w:rsidR="00754259" w:rsidRPr="00754259">
        <w:rPr>
          <w:rFonts w:eastAsia="Calibri" w:cstheme="minorHAnsi"/>
          <w:color w:val="000000" w:themeColor="text1"/>
        </w:rPr>
        <w:t>)</w:t>
      </w:r>
      <w:r w:rsidR="00616FF4" w:rsidRPr="00754259">
        <w:rPr>
          <w:rFonts w:eastAsia="Calibri" w:cstheme="minorHAnsi"/>
          <w:color w:val="000000" w:themeColor="text1"/>
        </w:rPr>
        <w:t xml:space="preserve"> </w:t>
      </w:r>
      <w:r w:rsidR="00754259">
        <w:rPr>
          <w:rFonts w:eastAsia="Calibri" w:cstheme="minorHAnsi"/>
          <w:color w:val="000000" w:themeColor="text1"/>
        </w:rPr>
        <w:t>were available for analysis</w:t>
      </w:r>
      <w:r w:rsidR="00754259" w:rsidRPr="00754259">
        <w:rPr>
          <w:rFonts w:eastAsia="Calibri" w:cstheme="minorHAnsi"/>
          <w:color w:val="000000" w:themeColor="text1"/>
        </w:rPr>
        <w:t xml:space="preserve"> with consent.</w:t>
      </w:r>
      <w:r w:rsidR="00754259">
        <w:rPr>
          <w:rFonts w:eastAsia="Calibri" w:cstheme="minorHAnsi"/>
          <w:color w:val="000000" w:themeColor="text1"/>
        </w:rPr>
        <w:t xml:space="preserve"> Several publications are available and show, for example, increased health care costs in children ages 2</w:t>
      </w:r>
      <w:r w:rsidR="00F93375">
        <w:rPr>
          <w:rFonts w:eastAsia="Calibri" w:cstheme="minorHAnsi"/>
          <w:color w:val="000000" w:themeColor="text1"/>
        </w:rPr>
        <w:t>–</w:t>
      </w:r>
      <w:r w:rsidR="00754259">
        <w:rPr>
          <w:rFonts w:eastAsia="Calibri" w:cstheme="minorHAnsi"/>
          <w:color w:val="000000" w:themeColor="text1"/>
        </w:rPr>
        <w:t>4 who had obesity.</w:t>
      </w:r>
      <w:r w:rsidR="00754259">
        <w:rPr>
          <w:rStyle w:val="FootnoteReference"/>
          <w:rFonts w:eastAsia="Calibri" w:cstheme="minorHAnsi"/>
          <w:color w:val="000000" w:themeColor="text1"/>
        </w:rPr>
        <w:footnoteReference w:id="5"/>
      </w:r>
      <w:r w:rsidR="00C50A23">
        <w:rPr>
          <w:rFonts w:eastAsia="Calibri" w:cstheme="minorHAnsi"/>
          <w:color w:val="000000" w:themeColor="text1"/>
          <w:vertAlign w:val="superscript"/>
        </w:rPr>
        <w:t>,</w:t>
      </w:r>
      <w:r w:rsidR="00EF211D">
        <w:rPr>
          <w:rStyle w:val="FootnoteReference"/>
          <w:rFonts w:eastAsia="Calibri" w:cstheme="minorHAnsi"/>
          <w:color w:val="000000" w:themeColor="text1"/>
        </w:rPr>
        <w:footnoteReference w:id="6"/>
      </w:r>
      <w:r w:rsidR="007F0EB8">
        <w:rPr>
          <w:rFonts w:eastAsia="Calibri" w:cstheme="minorHAnsi"/>
          <w:color w:val="000000" w:themeColor="text1"/>
          <w:vertAlign w:val="superscript"/>
        </w:rPr>
        <w:t>,</w:t>
      </w:r>
      <w:r w:rsidR="007F0EB8">
        <w:rPr>
          <w:rStyle w:val="FootnoteReference"/>
          <w:rFonts w:eastAsia="Calibri" w:cstheme="minorHAnsi"/>
          <w:color w:val="000000" w:themeColor="text1"/>
        </w:rPr>
        <w:footnoteReference w:id="7"/>
      </w:r>
      <w:r w:rsidR="00754259" w:rsidRPr="00754259">
        <w:rPr>
          <w:rFonts w:eastAsia="Calibri" w:cstheme="minorHAnsi"/>
          <w:color w:val="000000" w:themeColor="text1"/>
        </w:rPr>
        <w:t xml:space="preserve"> The </w:t>
      </w:r>
      <w:r w:rsidR="00616FF4" w:rsidRPr="00754259">
        <w:rPr>
          <w:rFonts w:eastAsia="Calibri" w:cstheme="minorHAnsi"/>
          <w:color w:val="000000" w:themeColor="text1"/>
        </w:rPr>
        <w:t xml:space="preserve">other studies did not have such consent and hence no data. </w:t>
      </w:r>
    </w:p>
    <w:p w14:paraId="0F317141" w14:textId="77777777" w:rsidR="00181BCB" w:rsidRPr="00616FF4" w:rsidRDefault="00181BCB" w:rsidP="00216E7B">
      <w:pPr>
        <w:pStyle w:val="ListParagraph"/>
        <w:spacing w:after="0"/>
        <w:rPr>
          <w:rFonts w:eastAsia="Calibri" w:cstheme="minorHAnsi"/>
          <w:b/>
          <w:bCs/>
          <w:color w:val="000000" w:themeColor="text1"/>
        </w:rPr>
      </w:pPr>
    </w:p>
    <w:p w14:paraId="41C07897" w14:textId="77777777" w:rsidR="000730AF" w:rsidRPr="00616FF4" w:rsidRDefault="000730AF" w:rsidP="00216E7B">
      <w:pPr>
        <w:spacing w:line="276" w:lineRule="auto"/>
        <w:contextualSpacing/>
        <w:rPr>
          <w:rFonts w:cstheme="minorHAnsi"/>
          <w:b/>
          <w:bCs/>
          <w:sz w:val="22"/>
          <w:szCs w:val="22"/>
        </w:rPr>
      </w:pPr>
      <w:r w:rsidRPr="00616FF4">
        <w:rPr>
          <w:rFonts w:cstheme="minorHAnsi"/>
          <w:b/>
          <w:bCs/>
          <w:sz w:val="22"/>
          <w:szCs w:val="22"/>
        </w:rPr>
        <w:t>Wrap-up</w:t>
      </w:r>
    </w:p>
    <w:p w14:paraId="1DB55DCA" w14:textId="5CF1C300" w:rsidR="00616FF4" w:rsidRPr="00616FF4" w:rsidRDefault="000730AF" w:rsidP="00216E7B">
      <w:pPr>
        <w:spacing w:line="276" w:lineRule="auto"/>
        <w:contextualSpacing/>
        <w:rPr>
          <w:rFonts w:cstheme="minorHAnsi"/>
          <w:sz w:val="22"/>
          <w:szCs w:val="22"/>
        </w:rPr>
      </w:pPr>
      <w:r w:rsidRPr="00616FF4">
        <w:rPr>
          <w:rFonts w:cstheme="minorHAnsi"/>
          <w:sz w:val="22"/>
          <w:szCs w:val="22"/>
        </w:rPr>
        <w:t>K. Hilyard reviewed dates for upcoming NCCOR member calls and meetings</w:t>
      </w:r>
      <w:r w:rsidR="002A31A2">
        <w:rPr>
          <w:rFonts w:cstheme="minorHAnsi"/>
          <w:sz w:val="22"/>
          <w:szCs w:val="22"/>
        </w:rPr>
        <w:t xml:space="preserve"> (below) and invited participants to contact NCCOR (</w:t>
      </w:r>
      <w:r w:rsidR="002A31A2" w:rsidRPr="002A31A2">
        <w:rPr>
          <w:rFonts w:cstheme="minorHAnsi"/>
          <w:sz w:val="22"/>
          <w:szCs w:val="22"/>
        </w:rPr>
        <w:t>nccor@fhi360.org</w:t>
      </w:r>
      <w:r w:rsidR="002A31A2">
        <w:rPr>
          <w:rFonts w:cstheme="minorHAnsi"/>
          <w:sz w:val="22"/>
          <w:szCs w:val="22"/>
        </w:rPr>
        <w:t>) with information about any</w:t>
      </w:r>
      <w:r w:rsidR="002A31A2" w:rsidRPr="002A31A2">
        <w:rPr>
          <w:rFonts w:cstheme="minorHAnsi"/>
          <w:sz w:val="22"/>
          <w:szCs w:val="22"/>
        </w:rPr>
        <w:t xml:space="preserve"> significant childhood obesity-related projects that </w:t>
      </w:r>
      <w:r w:rsidR="002A31A2">
        <w:rPr>
          <w:rFonts w:cstheme="minorHAnsi"/>
          <w:sz w:val="22"/>
          <w:szCs w:val="22"/>
        </w:rPr>
        <w:t>they</w:t>
      </w:r>
      <w:r w:rsidR="002A31A2" w:rsidRPr="002A31A2">
        <w:rPr>
          <w:rFonts w:cstheme="minorHAnsi"/>
          <w:sz w:val="22"/>
          <w:szCs w:val="22"/>
        </w:rPr>
        <w:t xml:space="preserve"> would like to share with the NCCOR membership on a member call or with a more public audience on a Connect &amp; Explore webinar</w:t>
      </w:r>
      <w:r w:rsidR="002A31A2">
        <w:rPr>
          <w:rFonts w:cstheme="minorHAnsi"/>
          <w:sz w:val="22"/>
          <w:szCs w:val="22"/>
        </w:rPr>
        <w:t>.</w:t>
      </w:r>
    </w:p>
    <w:p w14:paraId="5263DD24" w14:textId="77777777" w:rsidR="00616FF4" w:rsidRPr="00616FF4" w:rsidRDefault="00616FF4" w:rsidP="00216E7B">
      <w:pPr>
        <w:spacing w:line="276" w:lineRule="auto"/>
        <w:rPr>
          <w:rFonts w:eastAsia="Calibri" w:cstheme="minorHAnsi"/>
          <w:color w:val="000000" w:themeColor="text1"/>
          <w:sz w:val="22"/>
          <w:szCs w:val="22"/>
        </w:rPr>
      </w:pPr>
    </w:p>
    <w:tbl>
      <w:tblPr>
        <w:tblStyle w:val="TableGrid1"/>
        <w:tblW w:w="0" w:type="auto"/>
        <w:tblLook w:val="04A0" w:firstRow="1" w:lastRow="0" w:firstColumn="1" w:lastColumn="0" w:noHBand="0" w:noVBand="1"/>
      </w:tblPr>
      <w:tblGrid>
        <w:gridCol w:w="4675"/>
        <w:gridCol w:w="4675"/>
      </w:tblGrid>
      <w:tr w:rsidR="000730AF" w:rsidRPr="00616FF4" w14:paraId="0108AFBD" w14:textId="77777777" w:rsidTr="00821D0F">
        <w:tc>
          <w:tcPr>
            <w:tcW w:w="4675" w:type="dxa"/>
          </w:tcPr>
          <w:p w14:paraId="3E67CB0D" w14:textId="1A243060" w:rsidR="000730AF" w:rsidRPr="00616FF4" w:rsidRDefault="00D44584" w:rsidP="00216E7B">
            <w:pPr>
              <w:spacing w:line="276" w:lineRule="auto"/>
              <w:contextualSpacing/>
              <w:jc w:val="center"/>
              <w:rPr>
                <w:rFonts w:cstheme="minorHAnsi"/>
                <w:b/>
                <w:bCs/>
              </w:rPr>
            </w:pPr>
            <w:r w:rsidRPr="00616FF4">
              <w:rPr>
                <w:rFonts w:cstheme="minorHAnsi"/>
                <w:b/>
                <w:bCs/>
              </w:rPr>
              <w:t xml:space="preserve">2022 </w:t>
            </w:r>
            <w:r w:rsidR="000730AF" w:rsidRPr="00616FF4">
              <w:rPr>
                <w:rFonts w:cstheme="minorHAnsi"/>
                <w:b/>
                <w:bCs/>
              </w:rPr>
              <w:t>Member Calls</w:t>
            </w:r>
          </w:p>
          <w:p w14:paraId="2EE58977" w14:textId="10996362" w:rsidR="000730AF" w:rsidRPr="00616FF4" w:rsidRDefault="00DE5486" w:rsidP="00216E7B">
            <w:pPr>
              <w:spacing w:line="276" w:lineRule="auto"/>
              <w:contextualSpacing/>
              <w:jc w:val="center"/>
              <w:rPr>
                <w:rFonts w:cstheme="minorHAnsi"/>
              </w:rPr>
            </w:pPr>
            <w:r>
              <w:rPr>
                <w:rFonts w:cstheme="minorHAnsi"/>
              </w:rPr>
              <w:t>July 20</w:t>
            </w:r>
            <w:r w:rsidR="00D44584" w:rsidRPr="00616FF4">
              <w:rPr>
                <w:rFonts w:cstheme="minorHAnsi"/>
              </w:rPr>
              <w:t xml:space="preserve"> | </w:t>
            </w:r>
            <w:r>
              <w:rPr>
                <w:rFonts w:cstheme="minorHAnsi"/>
              </w:rPr>
              <w:t>August 17</w:t>
            </w:r>
            <w:r w:rsidR="00D44584" w:rsidRPr="00616FF4">
              <w:rPr>
                <w:rFonts w:cstheme="minorHAnsi"/>
              </w:rPr>
              <w:t xml:space="preserve"> | </w:t>
            </w:r>
            <w:r>
              <w:rPr>
                <w:rFonts w:cstheme="minorHAnsi"/>
              </w:rPr>
              <w:t>October 19</w:t>
            </w:r>
          </w:p>
        </w:tc>
        <w:tc>
          <w:tcPr>
            <w:tcW w:w="4675" w:type="dxa"/>
          </w:tcPr>
          <w:p w14:paraId="36D7689B" w14:textId="6AB2BFCE" w:rsidR="000730AF" w:rsidRPr="00616FF4" w:rsidRDefault="00D44584" w:rsidP="00216E7B">
            <w:pPr>
              <w:spacing w:line="276" w:lineRule="auto"/>
              <w:contextualSpacing/>
              <w:jc w:val="center"/>
              <w:rPr>
                <w:rFonts w:cstheme="minorHAnsi"/>
                <w:b/>
                <w:bCs/>
              </w:rPr>
            </w:pPr>
            <w:r w:rsidRPr="00616FF4">
              <w:rPr>
                <w:rFonts w:cstheme="minorHAnsi"/>
                <w:b/>
                <w:bCs/>
              </w:rPr>
              <w:t xml:space="preserve">2022 </w:t>
            </w:r>
            <w:r w:rsidR="000730AF" w:rsidRPr="00616FF4">
              <w:rPr>
                <w:rFonts w:cstheme="minorHAnsi"/>
                <w:b/>
                <w:bCs/>
              </w:rPr>
              <w:t>Member Meetings</w:t>
            </w:r>
          </w:p>
          <w:p w14:paraId="00D4DC00" w14:textId="49FC4019" w:rsidR="000730AF" w:rsidRPr="00616FF4" w:rsidRDefault="00DE5486" w:rsidP="00216E7B">
            <w:pPr>
              <w:spacing w:line="276" w:lineRule="auto"/>
              <w:contextualSpacing/>
              <w:jc w:val="center"/>
              <w:rPr>
                <w:rFonts w:cstheme="minorHAnsi"/>
              </w:rPr>
            </w:pPr>
            <w:r>
              <w:rPr>
                <w:rFonts w:cstheme="minorHAnsi"/>
              </w:rPr>
              <w:t>September</w:t>
            </w:r>
            <w:r w:rsidR="000730AF" w:rsidRPr="00616FF4">
              <w:rPr>
                <w:rFonts w:cstheme="minorHAnsi"/>
              </w:rPr>
              <w:t xml:space="preserve"> 15</w:t>
            </w:r>
          </w:p>
        </w:tc>
      </w:tr>
    </w:tbl>
    <w:p w14:paraId="5FCB1F44" w14:textId="77777777" w:rsidR="001C6033" w:rsidRPr="00EB7C83" w:rsidRDefault="001C6033" w:rsidP="00216E7B">
      <w:pPr>
        <w:spacing w:line="276" w:lineRule="auto"/>
        <w:contextualSpacing/>
        <w:rPr>
          <w:rFonts w:cstheme="minorHAnsi"/>
          <w:b/>
          <w:bCs/>
          <w:sz w:val="22"/>
          <w:szCs w:val="22"/>
        </w:rPr>
      </w:pPr>
    </w:p>
    <w:sectPr w:rsidR="001C6033" w:rsidRPr="00EB7C83" w:rsidSect="005850BD">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2340" w14:textId="77777777" w:rsidR="00821D0F" w:rsidRDefault="00821D0F" w:rsidP="002D00BA">
      <w:r>
        <w:separator/>
      </w:r>
    </w:p>
  </w:endnote>
  <w:endnote w:type="continuationSeparator" w:id="0">
    <w:p w14:paraId="251C0E6A" w14:textId="77777777" w:rsidR="00821D0F" w:rsidRDefault="00821D0F" w:rsidP="002D00BA">
      <w:r>
        <w:continuationSeparator/>
      </w:r>
    </w:p>
  </w:endnote>
  <w:endnote w:type="continuationNotice" w:id="1">
    <w:p w14:paraId="004BBA7D" w14:textId="77777777" w:rsidR="00821D0F" w:rsidRDefault="0082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LZQ G+ 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39797"/>
      <w:docPartObj>
        <w:docPartGallery w:val="Page Numbers (Bottom of Page)"/>
        <w:docPartUnique/>
      </w:docPartObj>
    </w:sdtPr>
    <w:sdtEndPr>
      <w:rPr>
        <w:noProof/>
        <w:sz w:val="22"/>
        <w:szCs w:val="22"/>
      </w:rPr>
    </w:sdtEndPr>
    <w:sdtContent>
      <w:p w14:paraId="050092F4" w14:textId="150C1266" w:rsidR="00823698" w:rsidRPr="00EE5699" w:rsidRDefault="00823698">
        <w:pPr>
          <w:pStyle w:val="Footer"/>
          <w:jc w:val="center"/>
          <w:rPr>
            <w:sz w:val="22"/>
            <w:szCs w:val="22"/>
          </w:rPr>
        </w:pPr>
        <w:r w:rsidRPr="00EE5699">
          <w:rPr>
            <w:sz w:val="22"/>
            <w:szCs w:val="22"/>
          </w:rPr>
          <w:fldChar w:fldCharType="begin"/>
        </w:r>
        <w:r w:rsidRPr="00EE5699">
          <w:rPr>
            <w:sz w:val="22"/>
            <w:szCs w:val="22"/>
          </w:rPr>
          <w:instrText xml:space="preserve"> PAGE   \* MERGEFORMAT </w:instrText>
        </w:r>
        <w:r w:rsidRPr="00EE5699">
          <w:rPr>
            <w:sz w:val="22"/>
            <w:szCs w:val="22"/>
          </w:rPr>
          <w:fldChar w:fldCharType="separate"/>
        </w:r>
        <w:r w:rsidRPr="00EE5699">
          <w:rPr>
            <w:noProof/>
            <w:sz w:val="22"/>
            <w:szCs w:val="22"/>
          </w:rPr>
          <w:t>2</w:t>
        </w:r>
        <w:r w:rsidRPr="00EE5699">
          <w:rPr>
            <w:noProof/>
            <w:sz w:val="22"/>
            <w:szCs w:val="22"/>
          </w:rPr>
          <w:fldChar w:fldCharType="end"/>
        </w:r>
      </w:p>
    </w:sdtContent>
  </w:sdt>
  <w:p w14:paraId="1F4767A4" w14:textId="7913BB2D" w:rsidR="00141992" w:rsidRDefault="0014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D859" w14:textId="77777777" w:rsidR="00821D0F" w:rsidRDefault="00821D0F" w:rsidP="002D00BA">
      <w:r>
        <w:separator/>
      </w:r>
    </w:p>
  </w:footnote>
  <w:footnote w:type="continuationSeparator" w:id="0">
    <w:p w14:paraId="4546FAA3" w14:textId="77777777" w:rsidR="00821D0F" w:rsidRDefault="00821D0F" w:rsidP="002D00BA">
      <w:r>
        <w:continuationSeparator/>
      </w:r>
    </w:p>
  </w:footnote>
  <w:footnote w:type="continuationNotice" w:id="1">
    <w:p w14:paraId="53C8C4BA" w14:textId="77777777" w:rsidR="00821D0F" w:rsidRDefault="00821D0F"/>
  </w:footnote>
  <w:footnote w:id="2">
    <w:p w14:paraId="0FBB19F1" w14:textId="6655CFF3" w:rsidR="008851D7" w:rsidRPr="00B25060" w:rsidRDefault="008851D7" w:rsidP="00872240">
      <w:pPr>
        <w:pStyle w:val="FootnoteText"/>
        <w:rPr>
          <w:sz w:val="18"/>
          <w:szCs w:val="18"/>
        </w:rPr>
      </w:pPr>
      <w:r w:rsidRPr="00B25060">
        <w:rPr>
          <w:rStyle w:val="FootnoteReference"/>
          <w:sz w:val="18"/>
          <w:szCs w:val="18"/>
        </w:rPr>
        <w:footnoteRef/>
      </w:r>
      <w:r w:rsidRPr="00B25060">
        <w:rPr>
          <w:sz w:val="18"/>
          <w:szCs w:val="18"/>
        </w:rPr>
        <w:t xml:space="preserve"> S</w:t>
      </w:r>
      <w:r w:rsidRPr="00B25060">
        <w:rPr>
          <w:sz w:val="18"/>
          <w:szCs w:val="18"/>
          <w:lang w:val="en-GB"/>
        </w:rPr>
        <w:t>tudies are identified as eligible for inclusion in the meta-analysis, and hypotheses and analysis strategies are specified before the results of the studies or cohorts related to the PMA research question are known.</w:t>
      </w:r>
    </w:p>
  </w:footnote>
  <w:footnote w:id="3">
    <w:p w14:paraId="43409B36" w14:textId="6CF00315" w:rsidR="002E48B0" w:rsidRPr="00B25060" w:rsidRDefault="002E48B0" w:rsidP="00872240">
      <w:pPr>
        <w:pStyle w:val="FootnoteText"/>
        <w:rPr>
          <w:sz w:val="18"/>
          <w:szCs w:val="18"/>
        </w:rPr>
      </w:pPr>
      <w:r w:rsidRPr="00B25060">
        <w:rPr>
          <w:rStyle w:val="FootnoteReference"/>
          <w:sz w:val="18"/>
          <w:szCs w:val="18"/>
        </w:rPr>
        <w:footnoteRef/>
      </w:r>
      <w:r w:rsidRPr="00B25060">
        <w:rPr>
          <w:sz w:val="18"/>
          <w:szCs w:val="18"/>
        </w:rPr>
        <w:t xml:space="preserve"> </w:t>
      </w:r>
      <w:r w:rsidRPr="00B25060">
        <w:rPr>
          <w:sz w:val="18"/>
          <w:szCs w:val="18"/>
          <w:lang w:val="en-AU"/>
        </w:rPr>
        <w:t xml:space="preserve">Askie et al. </w:t>
      </w:r>
      <w:r w:rsidRPr="00B25060">
        <w:rPr>
          <w:i/>
          <w:iCs/>
          <w:sz w:val="18"/>
          <w:szCs w:val="18"/>
          <w:lang w:val="en-AU"/>
        </w:rPr>
        <w:t>Pediatric Obesity</w:t>
      </w:r>
      <w:r w:rsidRPr="00B25060">
        <w:rPr>
          <w:sz w:val="18"/>
          <w:szCs w:val="18"/>
          <w:lang w:val="en-AU"/>
        </w:rPr>
        <w:t>. 2020:e12618.</w:t>
      </w:r>
    </w:p>
  </w:footnote>
  <w:footnote w:id="4">
    <w:p w14:paraId="79098049" w14:textId="762E03F6" w:rsidR="00EE6333" w:rsidRPr="00B25060" w:rsidRDefault="00EE6333">
      <w:pPr>
        <w:pStyle w:val="FootnoteText"/>
        <w:rPr>
          <w:sz w:val="18"/>
          <w:szCs w:val="18"/>
        </w:rPr>
      </w:pPr>
      <w:r w:rsidRPr="00B25060">
        <w:rPr>
          <w:rStyle w:val="FootnoteReference"/>
          <w:sz w:val="18"/>
          <w:szCs w:val="18"/>
        </w:rPr>
        <w:footnoteRef/>
      </w:r>
      <w:r w:rsidRPr="00B25060">
        <w:rPr>
          <w:sz w:val="18"/>
          <w:szCs w:val="18"/>
        </w:rPr>
        <w:t xml:space="preserve"> </w:t>
      </w:r>
      <w:r w:rsidRPr="00B25060">
        <w:rPr>
          <w:sz w:val="18"/>
          <w:szCs w:val="18"/>
          <w:lang w:val="en-AU"/>
        </w:rPr>
        <w:t>Seidler AL et al.</w:t>
      </w:r>
      <w:r w:rsidRPr="00B25060">
        <w:rPr>
          <w:i/>
          <w:iCs/>
          <w:sz w:val="18"/>
          <w:szCs w:val="18"/>
          <w:lang w:val="en-AU"/>
        </w:rPr>
        <w:t xml:space="preserve"> Pediatr Obesity </w:t>
      </w:r>
      <w:r w:rsidRPr="00B25060">
        <w:rPr>
          <w:sz w:val="18"/>
          <w:szCs w:val="18"/>
          <w:lang w:val="en-AU"/>
        </w:rPr>
        <w:t>2022</w:t>
      </w:r>
      <w:r w:rsidRPr="00B25060">
        <w:rPr>
          <w:sz w:val="18"/>
          <w:szCs w:val="18"/>
        </w:rPr>
        <w:t>.</w:t>
      </w:r>
    </w:p>
  </w:footnote>
  <w:footnote w:id="5">
    <w:p w14:paraId="6CF0821C" w14:textId="626802BA" w:rsidR="00754259" w:rsidRDefault="00754259">
      <w:pPr>
        <w:pStyle w:val="FootnoteText"/>
      </w:pPr>
      <w:r w:rsidRPr="00B25060">
        <w:rPr>
          <w:rStyle w:val="FootnoteReference"/>
          <w:sz w:val="18"/>
          <w:szCs w:val="18"/>
        </w:rPr>
        <w:footnoteRef/>
      </w:r>
      <w:r w:rsidRPr="00B25060">
        <w:rPr>
          <w:sz w:val="18"/>
          <w:szCs w:val="18"/>
        </w:rPr>
        <w:t xml:space="preserve"> </w:t>
      </w:r>
      <w:hyperlink r:id="rId1" w:history="1">
        <w:r w:rsidRPr="00B25060">
          <w:rPr>
            <w:rStyle w:val="Hyperlink"/>
            <w:sz w:val="18"/>
            <w:szCs w:val="18"/>
          </w:rPr>
          <w:t>Hayes et al. Obesity (Silver Spring). 2016 Aug;24(8):1752-8. doi: 10.1002/oby.21544. PMID: 27380909</w:t>
        </w:r>
      </w:hyperlink>
      <w:r w:rsidRPr="00B25060">
        <w:rPr>
          <w:sz w:val="18"/>
          <w:szCs w:val="18"/>
        </w:rPr>
        <w:t>.</w:t>
      </w:r>
    </w:p>
  </w:footnote>
  <w:footnote w:id="6">
    <w:p w14:paraId="0B70E6EF" w14:textId="07FF3380" w:rsidR="00EF211D" w:rsidRDefault="00EF211D">
      <w:pPr>
        <w:pStyle w:val="FootnoteText"/>
      </w:pPr>
      <w:r>
        <w:rPr>
          <w:rStyle w:val="FootnoteReference"/>
        </w:rPr>
        <w:footnoteRef/>
      </w:r>
      <w:r>
        <w:t xml:space="preserve"> </w:t>
      </w:r>
      <w:hyperlink r:id="rId2" w:history="1">
        <w:r w:rsidR="00C50A23" w:rsidRPr="007F0EB8">
          <w:rPr>
            <w:rStyle w:val="Hyperlink"/>
            <w:sz w:val="18"/>
            <w:szCs w:val="18"/>
          </w:rPr>
          <w:t>Hay</w:t>
        </w:r>
        <w:r w:rsidR="007F0EB8" w:rsidRPr="007F0EB8">
          <w:rPr>
            <w:rStyle w:val="Hyperlink"/>
            <w:sz w:val="18"/>
            <w:szCs w:val="18"/>
          </w:rPr>
          <w:t>e</w:t>
        </w:r>
        <w:r w:rsidR="00C50A23" w:rsidRPr="007F0EB8">
          <w:rPr>
            <w:rStyle w:val="Hyperlink"/>
            <w:sz w:val="18"/>
            <w:szCs w:val="18"/>
          </w:rPr>
          <w:t xml:space="preserve">s et al. </w:t>
        </w:r>
        <w:r w:rsidR="00CC26AB" w:rsidRPr="007F0EB8">
          <w:rPr>
            <w:rStyle w:val="Hyperlink"/>
            <w:sz w:val="18"/>
            <w:szCs w:val="18"/>
          </w:rPr>
          <w:t>Journal of Paediatrics and Child Health</w:t>
        </w:r>
        <w:r w:rsidR="00E9547A" w:rsidRPr="007F0EB8">
          <w:rPr>
            <w:rStyle w:val="Hyperlink"/>
            <w:sz w:val="18"/>
            <w:szCs w:val="18"/>
          </w:rPr>
          <w:t xml:space="preserve">. </w:t>
        </w:r>
        <w:r w:rsidR="005B485D" w:rsidRPr="007F0EB8">
          <w:rPr>
            <w:rStyle w:val="Hyperlink"/>
            <w:sz w:val="18"/>
            <w:szCs w:val="18"/>
          </w:rPr>
          <w:t>2019</w:t>
        </w:r>
        <w:r w:rsidR="00D52629" w:rsidRPr="007F0EB8">
          <w:rPr>
            <w:rStyle w:val="Hyperlink"/>
            <w:sz w:val="18"/>
            <w:szCs w:val="18"/>
          </w:rPr>
          <w:t xml:space="preserve"> Jul;</w:t>
        </w:r>
        <w:r w:rsidR="001E0BAE" w:rsidRPr="007F0EB8">
          <w:rPr>
            <w:rStyle w:val="Hyperlink"/>
            <w:sz w:val="18"/>
            <w:szCs w:val="18"/>
          </w:rPr>
          <w:t>55(7):</w:t>
        </w:r>
        <w:r w:rsidR="000B730C" w:rsidRPr="007F0EB8">
          <w:rPr>
            <w:rStyle w:val="Hyperlink"/>
            <w:sz w:val="18"/>
            <w:szCs w:val="18"/>
          </w:rPr>
          <w:t>802-808.</w:t>
        </w:r>
        <w:r w:rsidR="00797BF2" w:rsidRPr="007F0EB8">
          <w:rPr>
            <w:rStyle w:val="Hyperlink"/>
            <w:sz w:val="18"/>
            <w:szCs w:val="18"/>
          </w:rPr>
          <w:t xml:space="preserve"> </w:t>
        </w:r>
        <w:r w:rsidR="00A2353B">
          <w:rPr>
            <w:rStyle w:val="Hyperlink"/>
            <w:sz w:val="18"/>
            <w:szCs w:val="18"/>
          </w:rPr>
          <w:t xml:space="preserve">doi: </w:t>
        </w:r>
        <w:r w:rsidR="007F0EB8" w:rsidRPr="007F0EB8">
          <w:rPr>
            <w:rStyle w:val="Hyperlink"/>
            <w:sz w:val="18"/>
            <w:szCs w:val="18"/>
          </w:rPr>
          <w:t>10.1002/oby.21544</w:t>
        </w:r>
      </w:hyperlink>
      <w:r w:rsidR="00301483">
        <w:rPr>
          <w:sz w:val="18"/>
          <w:szCs w:val="18"/>
        </w:rPr>
        <w:t>.</w:t>
      </w:r>
    </w:p>
  </w:footnote>
  <w:footnote w:id="7">
    <w:p w14:paraId="2B6F9048" w14:textId="64675771" w:rsidR="007F0EB8" w:rsidRDefault="007F0EB8">
      <w:pPr>
        <w:pStyle w:val="FootnoteText"/>
      </w:pPr>
      <w:r>
        <w:rPr>
          <w:rStyle w:val="FootnoteReference"/>
        </w:rPr>
        <w:footnoteRef/>
      </w:r>
      <w:r w:rsidRPr="006E2036">
        <w:rPr>
          <w:sz w:val="18"/>
          <w:szCs w:val="18"/>
        </w:rPr>
        <w:t xml:space="preserve"> </w:t>
      </w:r>
      <w:hyperlink r:id="rId3" w:history="1">
        <w:r w:rsidRPr="006E2036">
          <w:rPr>
            <w:rStyle w:val="Hyperlink"/>
            <w:sz w:val="18"/>
            <w:szCs w:val="18"/>
          </w:rPr>
          <w:t>Brown</w:t>
        </w:r>
        <w:r w:rsidR="00E174D4" w:rsidRPr="006E2036">
          <w:rPr>
            <w:rStyle w:val="Hyperlink"/>
            <w:sz w:val="18"/>
            <w:szCs w:val="18"/>
          </w:rPr>
          <w:t xml:space="preserve"> et al.</w:t>
        </w:r>
        <w:r w:rsidR="00821BB2" w:rsidRPr="006E2036">
          <w:rPr>
            <w:rStyle w:val="Hyperlink"/>
            <w:sz w:val="18"/>
            <w:szCs w:val="18"/>
          </w:rPr>
          <w:t xml:space="preserve"> </w:t>
        </w:r>
        <w:r w:rsidR="000616A3" w:rsidRPr="006E2036">
          <w:rPr>
            <w:rStyle w:val="Hyperlink"/>
            <w:sz w:val="18"/>
            <w:szCs w:val="18"/>
          </w:rPr>
          <w:t>Australian and New Zealand Journal of Public Health. 2017</w:t>
        </w:r>
        <w:r w:rsidR="006E2036" w:rsidRPr="006E2036">
          <w:rPr>
            <w:rStyle w:val="Hyperlink"/>
            <w:sz w:val="18"/>
            <w:szCs w:val="18"/>
          </w:rPr>
          <w:t xml:space="preserve"> Jun;41(3):323-324. </w:t>
        </w:r>
        <w:r w:rsidR="000053AB">
          <w:rPr>
            <w:rStyle w:val="Hyperlink"/>
            <w:rFonts w:cstheme="minorHAnsi"/>
            <w:sz w:val="18"/>
            <w:szCs w:val="18"/>
            <w:shd w:val="clear" w:color="auto" w:fill="FFFFFF"/>
          </w:rPr>
          <w:t xml:space="preserve">doi: </w:t>
        </w:r>
        <w:r w:rsidR="006E2036" w:rsidRPr="006E2036">
          <w:rPr>
            <w:rStyle w:val="Hyperlink"/>
            <w:rFonts w:cstheme="minorHAnsi"/>
            <w:sz w:val="18"/>
            <w:szCs w:val="18"/>
            <w:shd w:val="clear" w:color="auto" w:fill="FFFFFF"/>
          </w:rPr>
          <w:t>10.1111/1753-6405.12628</w:t>
        </w:r>
      </w:hyperlink>
      <w:r w:rsidR="0030148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4253B"/>
    <w:multiLevelType w:val="hybridMultilevel"/>
    <w:tmpl w:val="15C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157D"/>
    <w:multiLevelType w:val="hybridMultilevel"/>
    <w:tmpl w:val="43D0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90C74"/>
    <w:multiLevelType w:val="hybridMultilevel"/>
    <w:tmpl w:val="EF26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06BC"/>
    <w:multiLevelType w:val="hybridMultilevel"/>
    <w:tmpl w:val="02F2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38F4"/>
    <w:multiLevelType w:val="hybridMultilevel"/>
    <w:tmpl w:val="55E46AF2"/>
    <w:lvl w:ilvl="0" w:tplc="4BAA0962">
      <w:start w:val="1"/>
      <w:numFmt w:val="bullet"/>
      <w:lvlText w:val="•"/>
      <w:lvlJc w:val="left"/>
      <w:pPr>
        <w:tabs>
          <w:tab w:val="num" w:pos="720"/>
        </w:tabs>
        <w:ind w:left="720" w:hanging="360"/>
      </w:pPr>
      <w:rPr>
        <w:rFonts w:ascii="Arial" w:hAnsi="Arial" w:hint="default"/>
      </w:rPr>
    </w:lvl>
    <w:lvl w:ilvl="1" w:tplc="33D4A110" w:tentative="1">
      <w:start w:val="1"/>
      <w:numFmt w:val="bullet"/>
      <w:lvlText w:val="•"/>
      <w:lvlJc w:val="left"/>
      <w:pPr>
        <w:tabs>
          <w:tab w:val="num" w:pos="1440"/>
        </w:tabs>
        <w:ind w:left="1440" w:hanging="360"/>
      </w:pPr>
      <w:rPr>
        <w:rFonts w:ascii="Arial" w:hAnsi="Arial" w:hint="default"/>
      </w:rPr>
    </w:lvl>
    <w:lvl w:ilvl="2" w:tplc="7EE0E5D2" w:tentative="1">
      <w:start w:val="1"/>
      <w:numFmt w:val="bullet"/>
      <w:lvlText w:val="•"/>
      <w:lvlJc w:val="left"/>
      <w:pPr>
        <w:tabs>
          <w:tab w:val="num" w:pos="2160"/>
        </w:tabs>
        <w:ind w:left="2160" w:hanging="360"/>
      </w:pPr>
      <w:rPr>
        <w:rFonts w:ascii="Arial" w:hAnsi="Arial" w:hint="default"/>
      </w:rPr>
    </w:lvl>
    <w:lvl w:ilvl="3" w:tplc="685E7256" w:tentative="1">
      <w:start w:val="1"/>
      <w:numFmt w:val="bullet"/>
      <w:lvlText w:val="•"/>
      <w:lvlJc w:val="left"/>
      <w:pPr>
        <w:tabs>
          <w:tab w:val="num" w:pos="2880"/>
        </w:tabs>
        <w:ind w:left="2880" w:hanging="360"/>
      </w:pPr>
      <w:rPr>
        <w:rFonts w:ascii="Arial" w:hAnsi="Arial" w:hint="default"/>
      </w:rPr>
    </w:lvl>
    <w:lvl w:ilvl="4" w:tplc="A9584588" w:tentative="1">
      <w:start w:val="1"/>
      <w:numFmt w:val="bullet"/>
      <w:lvlText w:val="•"/>
      <w:lvlJc w:val="left"/>
      <w:pPr>
        <w:tabs>
          <w:tab w:val="num" w:pos="3600"/>
        </w:tabs>
        <w:ind w:left="3600" w:hanging="360"/>
      </w:pPr>
      <w:rPr>
        <w:rFonts w:ascii="Arial" w:hAnsi="Arial" w:hint="default"/>
      </w:rPr>
    </w:lvl>
    <w:lvl w:ilvl="5" w:tplc="07C67FB0" w:tentative="1">
      <w:start w:val="1"/>
      <w:numFmt w:val="bullet"/>
      <w:lvlText w:val="•"/>
      <w:lvlJc w:val="left"/>
      <w:pPr>
        <w:tabs>
          <w:tab w:val="num" w:pos="4320"/>
        </w:tabs>
        <w:ind w:left="4320" w:hanging="360"/>
      </w:pPr>
      <w:rPr>
        <w:rFonts w:ascii="Arial" w:hAnsi="Arial" w:hint="default"/>
      </w:rPr>
    </w:lvl>
    <w:lvl w:ilvl="6" w:tplc="F4F857A6" w:tentative="1">
      <w:start w:val="1"/>
      <w:numFmt w:val="bullet"/>
      <w:lvlText w:val="•"/>
      <w:lvlJc w:val="left"/>
      <w:pPr>
        <w:tabs>
          <w:tab w:val="num" w:pos="5040"/>
        </w:tabs>
        <w:ind w:left="5040" w:hanging="360"/>
      </w:pPr>
      <w:rPr>
        <w:rFonts w:ascii="Arial" w:hAnsi="Arial" w:hint="default"/>
      </w:rPr>
    </w:lvl>
    <w:lvl w:ilvl="7" w:tplc="EAF8D434" w:tentative="1">
      <w:start w:val="1"/>
      <w:numFmt w:val="bullet"/>
      <w:lvlText w:val="•"/>
      <w:lvlJc w:val="left"/>
      <w:pPr>
        <w:tabs>
          <w:tab w:val="num" w:pos="5760"/>
        </w:tabs>
        <w:ind w:left="5760" w:hanging="360"/>
      </w:pPr>
      <w:rPr>
        <w:rFonts w:ascii="Arial" w:hAnsi="Arial" w:hint="default"/>
      </w:rPr>
    </w:lvl>
    <w:lvl w:ilvl="8" w:tplc="84B20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582576"/>
    <w:multiLevelType w:val="hybridMultilevel"/>
    <w:tmpl w:val="B7DC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217"/>
    <w:multiLevelType w:val="hybridMultilevel"/>
    <w:tmpl w:val="2B328822"/>
    <w:lvl w:ilvl="0" w:tplc="0B00709A">
      <w:start w:val="1"/>
      <w:numFmt w:val="bullet"/>
      <w:lvlText w:val="•"/>
      <w:lvlJc w:val="left"/>
      <w:pPr>
        <w:tabs>
          <w:tab w:val="num" w:pos="720"/>
        </w:tabs>
        <w:ind w:left="720" w:hanging="360"/>
      </w:pPr>
      <w:rPr>
        <w:rFonts w:ascii="Arial" w:hAnsi="Arial" w:hint="default"/>
      </w:rPr>
    </w:lvl>
    <w:lvl w:ilvl="1" w:tplc="24789A52" w:tentative="1">
      <w:start w:val="1"/>
      <w:numFmt w:val="bullet"/>
      <w:lvlText w:val="•"/>
      <w:lvlJc w:val="left"/>
      <w:pPr>
        <w:tabs>
          <w:tab w:val="num" w:pos="1440"/>
        </w:tabs>
        <w:ind w:left="1440" w:hanging="360"/>
      </w:pPr>
      <w:rPr>
        <w:rFonts w:ascii="Arial" w:hAnsi="Arial" w:hint="default"/>
      </w:rPr>
    </w:lvl>
    <w:lvl w:ilvl="2" w:tplc="D5F6FB20" w:tentative="1">
      <w:start w:val="1"/>
      <w:numFmt w:val="bullet"/>
      <w:lvlText w:val="•"/>
      <w:lvlJc w:val="left"/>
      <w:pPr>
        <w:tabs>
          <w:tab w:val="num" w:pos="2160"/>
        </w:tabs>
        <w:ind w:left="2160" w:hanging="360"/>
      </w:pPr>
      <w:rPr>
        <w:rFonts w:ascii="Arial" w:hAnsi="Arial" w:hint="default"/>
      </w:rPr>
    </w:lvl>
    <w:lvl w:ilvl="3" w:tplc="BB8C8850" w:tentative="1">
      <w:start w:val="1"/>
      <w:numFmt w:val="bullet"/>
      <w:lvlText w:val="•"/>
      <w:lvlJc w:val="left"/>
      <w:pPr>
        <w:tabs>
          <w:tab w:val="num" w:pos="2880"/>
        </w:tabs>
        <w:ind w:left="2880" w:hanging="360"/>
      </w:pPr>
      <w:rPr>
        <w:rFonts w:ascii="Arial" w:hAnsi="Arial" w:hint="default"/>
      </w:rPr>
    </w:lvl>
    <w:lvl w:ilvl="4" w:tplc="EC169814" w:tentative="1">
      <w:start w:val="1"/>
      <w:numFmt w:val="bullet"/>
      <w:lvlText w:val="•"/>
      <w:lvlJc w:val="left"/>
      <w:pPr>
        <w:tabs>
          <w:tab w:val="num" w:pos="3600"/>
        </w:tabs>
        <w:ind w:left="3600" w:hanging="360"/>
      </w:pPr>
      <w:rPr>
        <w:rFonts w:ascii="Arial" w:hAnsi="Arial" w:hint="default"/>
      </w:rPr>
    </w:lvl>
    <w:lvl w:ilvl="5" w:tplc="AEE2B3B4" w:tentative="1">
      <w:start w:val="1"/>
      <w:numFmt w:val="bullet"/>
      <w:lvlText w:val="•"/>
      <w:lvlJc w:val="left"/>
      <w:pPr>
        <w:tabs>
          <w:tab w:val="num" w:pos="4320"/>
        </w:tabs>
        <w:ind w:left="4320" w:hanging="360"/>
      </w:pPr>
      <w:rPr>
        <w:rFonts w:ascii="Arial" w:hAnsi="Arial" w:hint="default"/>
      </w:rPr>
    </w:lvl>
    <w:lvl w:ilvl="6" w:tplc="735035EA" w:tentative="1">
      <w:start w:val="1"/>
      <w:numFmt w:val="bullet"/>
      <w:lvlText w:val="•"/>
      <w:lvlJc w:val="left"/>
      <w:pPr>
        <w:tabs>
          <w:tab w:val="num" w:pos="5040"/>
        </w:tabs>
        <w:ind w:left="5040" w:hanging="360"/>
      </w:pPr>
      <w:rPr>
        <w:rFonts w:ascii="Arial" w:hAnsi="Arial" w:hint="default"/>
      </w:rPr>
    </w:lvl>
    <w:lvl w:ilvl="7" w:tplc="CCC686A8" w:tentative="1">
      <w:start w:val="1"/>
      <w:numFmt w:val="bullet"/>
      <w:lvlText w:val="•"/>
      <w:lvlJc w:val="left"/>
      <w:pPr>
        <w:tabs>
          <w:tab w:val="num" w:pos="5760"/>
        </w:tabs>
        <w:ind w:left="5760" w:hanging="360"/>
      </w:pPr>
      <w:rPr>
        <w:rFonts w:ascii="Arial" w:hAnsi="Arial" w:hint="default"/>
      </w:rPr>
    </w:lvl>
    <w:lvl w:ilvl="8" w:tplc="5F1E60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382353"/>
    <w:multiLevelType w:val="hybridMultilevel"/>
    <w:tmpl w:val="66A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619D4"/>
    <w:multiLevelType w:val="hybridMultilevel"/>
    <w:tmpl w:val="1AB86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A9E6006"/>
    <w:multiLevelType w:val="hybridMultilevel"/>
    <w:tmpl w:val="39AE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47A"/>
    <w:multiLevelType w:val="hybridMultilevel"/>
    <w:tmpl w:val="E8E09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023CB"/>
    <w:multiLevelType w:val="hybridMultilevel"/>
    <w:tmpl w:val="C5366568"/>
    <w:lvl w:ilvl="0" w:tplc="6A001BB0">
      <w:start w:val="11"/>
      <w:numFmt w:val="upperLetter"/>
      <w:lvlText w:val="%1."/>
      <w:lvlJc w:val="left"/>
      <w:pPr>
        <w:ind w:left="360" w:hanging="360"/>
      </w:pPr>
      <w:rPr>
        <w:rFonts w:hint="default"/>
        <w:i/>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475314"/>
    <w:multiLevelType w:val="hybridMultilevel"/>
    <w:tmpl w:val="1A48C580"/>
    <w:lvl w:ilvl="0" w:tplc="7A92ABFA">
      <w:start w:val="1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752E3"/>
    <w:multiLevelType w:val="hybridMultilevel"/>
    <w:tmpl w:val="3430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791B"/>
    <w:multiLevelType w:val="hybridMultilevel"/>
    <w:tmpl w:val="BB3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A46877"/>
    <w:multiLevelType w:val="hybridMultilevel"/>
    <w:tmpl w:val="D0943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5517F"/>
    <w:multiLevelType w:val="hybridMultilevel"/>
    <w:tmpl w:val="A7D8A98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595A9F"/>
    <w:multiLevelType w:val="hybridMultilevel"/>
    <w:tmpl w:val="A01A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011944"/>
    <w:multiLevelType w:val="hybridMultilevel"/>
    <w:tmpl w:val="0A04B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FC338A"/>
    <w:multiLevelType w:val="hybridMultilevel"/>
    <w:tmpl w:val="04F22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74089"/>
    <w:multiLevelType w:val="hybridMultilevel"/>
    <w:tmpl w:val="1E1A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FF4C6C"/>
    <w:multiLevelType w:val="hybridMultilevel"/>
    <w:tmpl w:val="2B36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920F66"/>
    <w:multiLevelType w:val="hybridMultilevel"/>
    <w:tmpl w:val="CF68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24B52"/>
    <w:multiLevelType w:val="hybridMultilevel"/>
    <w:tmpl w:val="957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1204B"/>
    <w:multiLevelType w:val="hybridMultilevel"/>
    <w:tmpl w:val="4138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8C3646"/>
    <w:multiLevelType w:val="hybridMultilevel"/>
    <w:tmpl w:val="D6B68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B3290"/>
    <w:multiLevelType w:val="hybridMultilevel"/>
    <w:tmpl w:val="787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72899"/>
    <w:multiLevelType w:val="hybridMultilevel"/>
    <w:tmpl w:val="5588AB60"/>
    <w:lvl w:ilvl="0" w:tplc="AA46D6B4">
      <w:start w:val="1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0097"/>
    <w:multiLevelType w:val="hybridMultilevel"/>
    <w:tmpl w:val="8DD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57CF7"/>
    <w:multiLevelType w:val="hybridMultilevel"/>
    <w:tmpl w:val="A7D06810"/>
    <w:lvl w:ilvl="0" w:tplc="A784231E">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B0D8A"/>
    <w:multiLevelType w:val="hybridMultilevel"/>
    <w:tmpl w:val="F940A0D6"/>
    <w:lvl w:ilvl="0" w:tplc="C6064834">
      <w:start w:val="1"/>
      <w:numFmt w:val="decimal"/>
      <w:lvlText w:val="%1."/>
      <w:lvlJc w:val="left"/>
      <w:pPr>
        <w:ind w:left="360" w:hanging="360"/>
      </w:pPr>
      <w:rPr>
        <w:rFonts w:ascii="Calibri" w:eastAsiaTheme="minorHAnsi"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FF1827"/>
    <w:multiLevelType w:val="hybridMultilevel"/>
    <w:tmpl w:val="734C9DEE"/>
    <w:lvl w:ilvl="0" w:tplc="AA46D6B4">
      <w:start w:val="1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74436"/>
    <w:multiLevelType w:val="hybridMultilevel"/>
    <w:tmpl w:val="F9025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2289799">
    <w:abstractNumId w:val="0"/>
  </w:num>
  <w:num w:numId="2" w16cid:durableId="799609876">
    <w:abstractNumId w:val="20"/>
  </w:num>
  <w:num w:numId="3" w16cid:durableId="1010915647">
    <w:abstractNumId w:val="6"/>
  </w:num>
  <w:num w:numId="4" w16cid:durableId="1805073224">
    <w:abstractNumId w:val="14"/>
  </w:num>
  <w:num w:numId="5" w16cid:durableId="1440222962">
    <w:abstractNumId w:val="3"/>
  </w:num>
  <w:num w:numId="6" w16cid:durableId="464010318">
    <w:abstractNumId w:val="33"/>
  </w:num>
  <w:num w:numId="7" w16cid:durableId="586887619">
    <w:abstractNumId w:val="24"/>
  </w:num>
  <w:num w:numId="8" w16cid:durableId="1082529810">
    <w:abstractNumId w:val="1"/>
  </w:num>
  <w:num w:numId="9" w16cid:durableId="969940074">
    <w:abstractNumId w:val="12"/>
  </w:num>
  <w:num w:numId="10" w16cid:durableId="1254900488">
    <w:abstractNumId w:val="4"/>
  </w:num>
  <w:num w:numId="11" w16cid:durableId="120613396">
    <w:abstractNumId w:val="29"/>
  </w:num>
  <w:num w:numId="12" w16cid:durableId="2065326810">
    <w:abstractNumId w:val="27"/>
  </w:num>
  <w:num w:numId="13" w16cid:durableId="1765687613">
    <w:abstractNumId w:val="31"/>
  </w:num>
  <w:num w:numId="14" w16cid:durableId="743528150">
    <w:abstractNumId w:val="11"/>
  </w:num>
  <w:num w:numId="15" w16cid:durableId="623661832">
    <w:abstractNumId w:val="15"/>
  </w:num>
  <w:num w:numId="16" w16cid:durableId="540633727">
    <w:abstractNumId w:val="26"/>
  </w:num>
  <w:num w:numId="17" w16cid:durableId="802120197">
    <w:abstractNumId w:val="16"/>
  </w:num>
  <w:num w:numId="18" w16cid:durableId="151072337">
    <w:abstractNumId w:val="10"/>
  </w:num>
  <w:num w:numId="19" w16cid:durableId="1699814199">
    <w:abstractNumId w:val="19"/>
  </w:num>
  <w:num w:numId="20" w16cid:durableId="990904965">
    <w:abstractNumId w:val="25"/>
  </w:num>
  <w:num w:numId="21" w16cid:durableId="1399088692">
    <w:abstractNumId w:val="2"/>
  </w:num>
  <w:num w:numId="22" w16cid:durableId="385419847">
    <w:abstractNumId w:val="9"/>
  </w:num>
  <w:num w:numId="23" w16cid:durableId="1007053476">
    <w:abstractNumId w:val="17"/>
  </w:num>
  <w:num w:numId="24" w16cid:durableId="146898767">
    <w:abstractNumId w:val="21"/>
  </w:num>
  <w:num w:numId="25" w16cid:durableId="893389915">
    <w:abstractNumId w:val="13"/>
  </w:num>
  <w:num w:numId="26" w16cid:durableId="1597783642">
    <w:abstractNumId w:val="30"/>
  </w:num>
  <w:num w:numId="27" w16cid:durableId="835192263">
    <w:abstractNumId w:val="32"/>
  </w:num>
  <w:num w:numId="28" w16cid:durableId="630207676">
    <w:abstractNumId w:val="22"/>
  </w:num>
  <w:num w:numId="29" w16cid:durableId="1932814257">
    <w:abstractNumId w:val="18"/>
  </w:num>
  <w:num w:numId="30" w16cid:durableId="2122257237">
    <w:abstractNumId w:val="7"/>
  </w:num>
  <w:num w:numId="31" w16cid:durableId="1281106358">
    <w:abstractNumId w:val="5"/>
  </w:num>
  <w:num w:numId="32" w16cid:durableId="1075084175">
    <w:abstractNumId w:val="28"/>
  </w:num>
  <w:num w:numId="33" w16cid:durableId="569342075">
    <w:abstractNumId w:val="23"/>
  </w:num>
  <w:num w:numId="34" w16cid:durableId="193724819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BA"/>
    <w:rsid w:val="000002F1"/>
    <w:rsid w:val="00001EC9"/>
    <w:rsid w:val="00001F47"/>
    <w:rsid w:val="000023F1"/>
    <w:rsid w:val="000031FD"/>
    <w:rsid w:val="00003DF0"/>
    <w:rsid w:val="000053AB"/>
    <w:rsid w:val="000125E7"/>
    <w:rsid w:val="00013252"/>
    <w:rsid w:val="00015842"/>
    <w:rsid w:val="00015CE2"/>
    <w:rsid w:val="0002089C"/>
    <w:rsid w:val="000223C2"/>
    <w:rsid w:val="00022432"/>
    <w:rsid w:val="00022576"/>
    <w:rsid w:val="00024421"/>
    <w:rsid w:val="00024D18"/>
    <w:rsid w:val="00025935"/>
    <w:rsid w:val="0002793A"/>
    <w:rsid w:val="00027A33"/>
    <w:rsid w:val="00027B59"/>
    <w:rsid w:val="00030907"/>
    <w:rsid w:val="00030D3B"/>
    <w:rsid w:val="0003140F"/>
    <w:rsid w:val="00032091"/>
    <w:rsid w:val="00035D49"/>
    <w:rsid w:val="00037ED6"/>
    <w:rsid w:val="00042847"/>
    <w:rsid w:val="00045CDC"/>
    <w:rsid w:val="00046186"/>
    <w:rsid w:val="00046B31"/>
    <w:rsid w:val="00046FD8"/>
    <w:rsid w:val="00052128"/>
    <w:rsid w:val="00057B2F"/>
    <w:rsid w:val="000610D2"/>
    <w:rsid w:val="000616A3"/>
    <w:rsid w:val="0006198F"/>
    <w:rsid w:val="00062690"/>
    <w:rsid w:val="00066B70"/>
    <w:rsid w:val="00071EC3"/>
    <w:rsid w:val="000730AF"/>
    <w:rsid w:val="00073CB9"/>
    <w:rsid w:val="000836C4"/>
    <w:rsid w:val="00087CB2"/>
    <w:rsid w:val="00090556"/>
    <w:rsid w:val="00091C35"/>
    <w:rsid w:val="00094562"/>
    <w:rsid w:val="000959B2"/>
    <w:rsid w:val="0009675E"/>
    <w:rsid w:val="000A125D"/>
    <w:rsid w:val="000A25E1"/>
    <w:rsid w:val="000A2EFB"/>
    <w:rsid w:val="000A4C37"/>
    <w:rsid w:val="000A79E6"/>
    <w:rsid w:val="000B1A52"/>
    <w:rsid w:val="000B70DC"/>
    <w:rsid w:val="000B730C"/>
    <w:rsid w:val="000B73B2"/>
    <w:rsid w:val="000B75CF"/>
    <w:rsid w:val="000C0137"/>
    <w:rsid w:val="000C44EF"/>
    <w:rsid w:val="000C586F"/>
    <w:rsid w:val="000C58A9"/>
    <w:rsid w:val="000C6087"/>
    <w:rsid w:val="000D1A8F"/>
    <w:rsid w:val="000D1C53"/>
    <w:rsid w:val="000D3FC3"/>
    <w:rsid w:val="000D635E"/>
    <w:rsid w:val="000E10FB"/>
    <w:rsid w:val="000E142F"/>
    <w:rsid w:val="000E3E27"/>
    <w:rsid w:val="000E5863"/>
    <w:rsid w:val="000F073F"/>
    <w:rsid w:val="000F5FC8"/>
    <w:rsid w:val="0010289C"/>
    <w:rsid w:val="00105959"/>
    <w:rsid w:val="001060D0"/>
    <w:rsid w:val="00106963"/>
    <w:rsid w:val="00106F33"/>
    <w:rsid w:val="00111570"/>
    <w:rsid w:val="00113165"/>
    <w:rsid w:val="001178CB"/>
    <w:rsid w:val="0012169E"/>
    <w:rsid w:val="00123841"/>
    <w:rsid w:val="00125A38"/>
    <w:rsid w:val="00126265"/>
    <w:rsid w:val="00132425"/>
    <w:rsid w:val="001334BE"/>
    <w:rsid w:val="001409CE"/>
    <w:rsid w:val="00141697"/>
    <w:rsid w:val="00141918"/>
    <w:rsid w:val="00141992"/>
    <w:rsid w:val="00143473"/>
    <w:rsid w:val="00146337"/>
    <w:rsid w:val="00147E8B"/>
    <w:rsid w:val="00150311"/>
    <w:rsid w:val="00151229"/>
    <w:rsid w:val="0015572A"/>
    <w:rsid w:val="00164ACA"/>
    <w:rsid w:val="00164F28"/>
    <w:rsid w:val="00170F5A"/>
    <w:rsid w:val="001720A8"/>
    <w:rsid w:val="00173AD0"/>
    <w:rsid w:val="00174BED"/>
    <w:rsid w:val="00174D0C"/>
    <w:rsid w:val="0017542D"/>
    <w:rsid w:val="001775B5"/>
    <w:rsid w:val="00181B43"/>
    <w:rsid w:val="00181BCB"/>
    <w:rsid w:val="001829E4"/>
    <w:rsid w:val="00184FE3"/>
    <w:rsid w:val="001850A7"/>
    <w:rsid w:val="00185116"/>
    <w:rsid w:val="0018646B"/>
    <w:rsid w:val="00187AC7"/>
    <w:rsid w:val="00187EB0"/>
    <w:rsid w:val="00190310"/>
    <w:rsid w:val="0019238B"/>
    <w:rsid w:val="00195B9C"/>
    <w:rsid w:val="001A085B"/>
    <w:rsid w:val="001A111D"/>
    <w:rsid w:val="001A6E44"/>
    <w:rsid w:val="001B1A90"/>
    <w:rsid w:val="001B286C"/>
    <w:rsid w:val="001B2DD7"/>
    <w:rsid w:val="001B3A76"/>
    <w:rsid w:val="001B3E43"/>
    <w:rsid w:val="001B4CDB"/>
    <w:rsid w:val="001C1613"/>
    <w:rsid w:val="001C4C47"/>
    <w:rsid w:val="001C580D"/>
    <w:rsid w:val="001C6033"/>
    <w:rsid w:val="001D0ADD"/>
    <w:rsid w:val="001D0C97"/>
    <w:rsid w:val="001D385F"/>
    <w:rsid w:val="001D46B4"/>
    <w:rsid w:val="001D4DFE"/>
    <w:rsid w:val="001D6A46"/>
    <w:rsid w:val="001D734C"/>
    <w:rsid w:val="001E091A"/>
    <w:rsid w:val="001E0BAE"/>
    <w:rsid w:val="001E316B"/>
    <w:rsid w:val="001E40BE"/>
    <w:rsid w:val="001E487E"/>
    <w:rsid w:val="001E5FE0"/>
    <w:rsid w:val="001E7C31"/>
    <w:rsid w:val="001F229C"/>
    <w:rsid w:val="001F3759"/>
    <w:rsid w:val="001F37C8"/>
    <w:rsid w:val="001F4C41"/>
    <w:rsid w:val="001F50AA"/>
    <w:rsid w:val="00201150"/>
    <w:rsid w:val="00201862"/>
    <w:rsid w:val="00201E52"/>
    <w:rsid w:val="0020230D"/>
    <w:rsid w:val="00203E41"/>
    <w:rsid w:val="00204E35"/>
    <w:rsid w:val="00205F9B"/>
    <w:rsid w:val="00206505"/>
    <w:rsid w:val="0020706C"/>
    <w:rsid w:val="00207ED0"/>
    <w:rsid w:val="00210AF7"/>
    <w:rsid w:val="00210CE0"/>
    <w:rsid w:val="002122A6"/>
    <w:rsid w:val="00214C66"/>
    <w:rsid w:val="00214C76"/>
    <w:rsid w:val="00216E7B"/>
    <w:rsid w:val="00221912"/>
    <w:rsid w:val="002251F7"/>
    <w:rsid w:val="002255A6"/>
    <w:rsid w:val="00227B8C"/>
    <w:rsid w:val="00233186"/>
    <w:rsid w:val="002348F5"/>
    <w:rsid w:val="002352AE"/>
    <w:rsid w:val="00235386"/>
    <w:rsid w:val="00235413"/>
    <w:rsid w:val="0023767A"/>
    <w:rsid w:val="00237944"/>
    <w:rsid w:val="0024247A"/>
    <w:rsid w:val="00242F7A"/>
    <w:rsid w:val="00243002"/>
    <w:rsid w:val="0024331B"/>
    <w:rsid w:val="0024342F"/>
    <w:rsid w:val="002461D1"/>
    <w:rsid w:val="00246EF2"/>
    <w:rsid w:val="00251472"/>
    <w:rsid w:val="00251F62"/>
    <w:rsid w:val="0026413F"/>
    <w:rsid w:val="00264498"/>
    <w:rsid w:val="002645C2"/>
    <w:rsid w:val="0026550B"/>
    <w:rsid w:val="00273EB0"/>
    <w:rsid w:val="00277EA7"/>
    <w:rsid w:val="00283C35"/>
    <w:rsid w:val="002842D9"/>
    <w:rsid w:val="002845F1"/>
    <w:rsid w:val="00284920"/>
    <w:rsid w:val="002850CE"/>
    <w:rsid w:val="0029094A"/>
    <w:rsid w:val="002911B9"/>
    <w:rsid w:val="002949B9"/>
    <w:rsid w:val="00294F3A"/>
    <w:rsid w:val="002971F7"/>
    <w:rsid w:val="002A1142"/>
    <w:rsid w:val="002A16EA"/>
    <w:rsid w:val="002A177A"/>
    <w:rsid w:val="002A24F6"/>
    <w:rsid w:val="002A31A2"/>
    <w:rsid w:val="002A4CE5"/>
    <w:rsid w:val="002B068F"/>
    <w:rsid w:val="002B0802"/>
    <w:rsid w:val="002B1452"/>
    <w:rsid w:val="002B2E8C"/>
    <w:rsid w:val="002B3058"/>
    <w:rsid w:val="002B4E32"/>
    <w:rsid w:val="002B71F6"/>
    <w:rsid w:val="002B7E4A"/>
    <w:rsid w:val="002C0B10"/>
    <w:rsid w:val="002C1589"/>
    <w:rsid w:val="002C4C94"/>
    <w:rsid w:val="002C55A8"/>
    <w:rsid w:val="002C770A"/>
    <w:rsid w:val="002D00BA"/>
    <w:rsid w:val="002D39FA"/>
    <w:rsid w:val="002D3BC3"/>
    <w:rsid w:val="002D5E2C"/>
    <w:rsid w:val="002D5F19"/>
    <w:rsid w:val="002E1B47"/>
    <w:rsid w:val="002E1D9D"/>
    <w:rsid w:val="002E48B0"/>
    <w:rsid w:val="002E5077"/>
    <w:rsid w:val="002E6809"/>
    <w:rsid w:val="002F1855"/>
    <w:rsid w:val="002F1DFF"/>
    <w:rsid w:val="002F3EE9"/>
    <w:rsid w:val="003002AE"/>
    <w:rsid w:val="00300D38"/>
    <w:rsid w:val="00301483"/>
    <w:rsid w:val="0030660F"/>
    <w:rsid w:val="00307597"/>
    <w:rsid w:val="003114BA"/>
    <w:rsid w:val="003147C6"/>
    <w:rsid w:val="00315AC6"/>
    <w:rsid w:val="00316401"/>
    <w:rsid w:val="00321F06"/>
    <w:rsid w:val="0032325D"/>
    <w:rsid w:val="003323DD"/>
    <w:rsid w:val="003367C0"/>
    <w:rsid w:val="003369A9"/>
    <w:rsid w:val="00340413"/>
    <w:rsid w:val="00341291"/>
    <w:rsid w:val="0034129A"/>
    <w:rsid w:val="0034305E"/>
    <w:rsid w:val="00344C06"/>
    <w:rsid w:val="00346498"/>
    <w:rsid w:val="00347255"/>
    <w:rsid w:val="003477D2"/>
    <w:rsid w:val="0035023A"/>
    <w:rsid w:val="003567A8"/>
    <w:rsid w:val="003567D7"/>
    <w:rsid w:val="003614B0"/>
    <w:rsid w:val="00362AF8"/>
    <w:rsid w:val="00363986"/>
    <w:rsid w:val="00363B32"/>
    <w:rsid w:val="003641D7"/>
    <w:rsid w:val="00364FCE"/>
    <w:rsid w:val="00366635"/>
    <w:rsid w:val="0036790C"/>
    <w:rsid w:val="00371B0F"/>
    <w:rsid w:val="0037314D"/>
    <w:rsid w:val="00375D58"/>
    <w:rsid w:val="00376D50"/>
    <w:rsid w:val="0037705D"/>
    <w:rsid w:val="003774FC"/>
    <w:rsid w:val="003802A3"/>
    <w:rsid w:val="00382E8A"/>
    <w:rsid w:val="0038599C"/>
    <w:rsid w:val="003866E3"/>
    <w:rsid w:val="00387D2D"/>
    <w:rsid w:val="0039020C"/>
    <w:rsid w:val="00390683"/>
    <w:rsid w:val="00393013"/>
    <w:rsid w:val="00394883"/>
    <w:rsid w:val="003948C5"/>
    <w:rsid w:val="00394AE9"/>
    <w:rsid w:val="003970B3"/>
    <w:rsid w:val="00397B30"/>
    <w:rsid w:val="003A0E73"/>
    <w:rsid w:val="003A1B09"/>
    <w:rsid w:val="003A1CB8"/>
    <w:rsid w:val="003A3545"/>
    <w:rsid w:val="003A36E6"/>
    <w:rsid w:val="003B0DC6"/>
    <w:rsid w:val="003B1F4F"/>
    <w:rsid w:val="003B5E7E"/>
    <w:rsid w:val="003C0DEB"/>
    <w:rsid w:val="003C0F64"/>
    <w:rsid w:val="003D1021"/>
    <w:rsid w:val="003D5E30"/>
    <w:rsid w:val="003D71C9"/>
    <w:rsid w:val="003D7869"/>
    <w:rsid w:val="003D79C5"/>
    <w:rsid w:val="003E08A0"/>
    <w:rsid w:val="003E0FEF"/>
    <w:rsid w:val="003E4CB2"/>
    <w:rsid w:val="003E7BF1"/>
    <w:rsid w:val="003E7D1F"/>
    <w:rsid w:val="003F7437"/>
    <w:rsid w:val="00400B2B"/>
    <w:rsid w:val="00400CA0"/>
    <w:rsid w:val="0040137D"/>
    <w:rsid w:val="00403379"/>
    <w:rsid w:val="004051AB"/>
    <w:rsid w:val="00407D73"/>
    <w:rsid w:val="004107DB"/>
    <w:rsid w:val="00413E0C"/>
    <w:rsid w:val="00415767"/>
    <w:rsid w:val="00417041"/>
    <w:rsid w:val="00422B09"/>
    <w:rsid w:val="00422B49"/>
    <w:rsid w:val="00425152"/>
    <w:rsid w:val="004254B6"/>
    <w:rsid w:val="004261E1"/>
    <w:rsid w:val="004340B5"/>
    <w:rsid w:val="00435D57"/>
    <w:rsid w:val="00440576"/>
    <w:rsid w:val="00443638"/>
    <w:rsid w:val="00447D55"/>
    <w:rsid w:val="0045204F"/>
    <w:rsid w:val="00456C3B"/>
    <w:rsid w:val="00467527"/>
    <w:rsid w:val="00471889"/>
    <w:rsid w:val="00472611"/>
    <w:rsid w:val="00472A49"/>
    <w:rsid w:val="00473DFB"/>
    <w:rsid w:val="00473E61"/>
    <w:rsid w:val="00476464"/>
    <w:rsid w:val="00476FD4"/>
    <w:rsid w:val="0048204A"/>
    <w:rsid w:val="004922FB"/>
    <w:rsid w:val="00495A75"/>
    <w:rsid w:val="00495F85"/>
    <w:rsid w:val="0049735C"/>
    <w:rsid w:val="004A3B36"/>
    <w:rsid w:val="004A5988"/>
    <w:rsid w:val="004A6F84"/>
    <w:rsid w:val="004B15B5"/>
    <w:rsid w:val="004B1FAB"/>
    <w:rsid w:val="004B3EF5"/>
    <w:rsid w:val="004B56DE"/>
    <w:rsid w:val="004B764E"/>
    <w:rsid w:val="004C0E2E"/>
    <w:rsid w:val="004C162D"/>
    <w:rsid w:val="004C1EC9"/>
    <w:rsid w:val="004C2D3F"/>
    <w:rsid w:val="004C31D8"/>
    <w:rsid w:val="004C393D"/>
    <w:rsid w:val="004C4901"/>
    <w:rsid w:val="004C5EEC"/>
    <w:rsid w:val="004C65F0"/>
    <w:rsid w:val="004D1949"/>
    <w:rsid w:val="004D2B74"/>
    <w:rsid w:val="004D7D3A"/>
    <w:rsid w:val="004D7DD4"/>
    <w:rsid w:val="004E0317"/>
    <w:rsid w:val="004E0E33"/>
    <w:rsid w:val="004E3737"/>
    <w:rsid w:val="004E52FD"/>
    <w:rsid w:val="004E5952"/>
    <w:rsid w:val="004E65FD"/>
    <w:rsid w:val="004F05EA"/>
    <w:rsid w:val="004F26AD"/>
    <w:rsid w:val="004F46AB"/>
    <w:rsid w:val="004F523B"/>
    <w:rsid w:val="00500055"/>
    <w:rsid w:val="00500DF0"/>
    <w:rsid w:val="005047EB"/>
    <w:rsid w:val="0051380A"/>
    <w:rsid w:val="00514AB3"/>
    <w:rsid w:val="00514B58"/>
    <w:rsid w:val="00515560"/>
    <w:rsid w:val="00517AD8"/>
    <w:rsid w:val="00524BA5"/>
    <w:rsid w:val="00525BB7"/>
    <w:rsid w:val="00525CD1"/>
    <w:rsid w:val="005264C4"/>
    <w:rsid w:val="00531325"/>
    <w:rsid w:val="005314F6"/>
    <w:rsid w:val="00531F05"/>
    <w:rsid w:val="005323BF"/>
    <w:rsid w:val="0053242F"/>
    <w:rsid w:val="0053425B"/>
    <w:rsid w:val="0053430A"/>
    <w:rsid w:val="005357F8"/>
    <w:rsid w:val="005363E9"/>
    <w:rsid w:val="00541013"/>
    <w:rsid w:val="0054622B"/>
    <w:rsid w:val="00547B79"/>
    <w:rsid w:val="00547C4E"/>
    <w:rsid w:val="00550172"/>
    <w:rsid w:val="005531D8"/>
    <w:rsid w:val="00553693"/>
    <w:rsid w:val="00553B8D"/>
    <w:rsid w:val="0055411C"/>
    <w:rsid w:val="005644E5"/>
    <w:rsid w:val="00564B58"/>
    <w:rsid w:val="00567458"/>
    <w:rsid w:val="00567F35"/>
    <w:rsid w:val="00580987"/>
    <w:rsid w:val="00583851"/>
    <w:rsid w:val="005850BD"/>
    <w:rsid w:val="0058698C"/>
    <w:rsid w:val="00586F3E"/>
    <w:rsid w:val="00590987"/>
    <w:rsid w:val="0059374F"/>
    <w:rsid w:val="005941ED"/>
    <w:rsid w:val="00597103"/>
    <w:rsid w:val="005A0BE4"/>
    <w:rsid w:val="005A2D17"/>
    <w:rsid w:val="005A2D8B"/>
    <w:rsid w:val="005A52CB"/>
    <w:rsid w:val="005B119E"/>
    <w:rsid w:val="005B1AC1"/>
    <w:rsid w:val="005B3D71"/>
    <w:rsid w:val="005B485D"/>
    <w:rsid w:val="005C3BF1"/>
    <w:rsid w:val="005C51A7"/>
    <w:rsid w:val="005D0E9B"/>
    <w:rsid w:val="005D0FB3"/>
    <w:rsid w:val="005D2030"/>
    <w:rsid w:val="005D373E"/>
    <w:rsid w:val="005D4905"/>
    <w:rsid w:val="005E0BAD"/>
    <w:rsid w:val="005E1CC3"/>
    <w:rsid w:val="005E1EC1"/>
    <w:rsid w:val="005E212B"/>
    <w:rsid w:val="005F172E"/>
    <w:rsid w:val="005F3F66"/>
    <w:rsid w:val="005F7BDD"/>
    <w:rsid w:val="006001AC"/>
    <w:rsid w:val="00601BD1"/>
    <w:rsid w:val="00602B79"/>
    <w:rsid w:val="006033C1"/>
    <w:rsid w:val="00605271"/>
    <w:rsid w:val="006064E1"/>
    <w:rsid w:val="0061007B"/>
    <w:rsid w:val="00614DD3"/>
    <w:rsid w:val="006153FF"/>
    <w:rsid w:val="00616FF4"/>
    <w:rsid w:val="00622B88"/>
    <w:rsid w:val="00622E59"/>
    <w:rsid w:val="00623FE7"/>
    <w:rsid w:val="00625B90"/>
    <w:rsid w:val="00625FB4"/>
    <w:rsid w:val="0063011F"/>
    <w:rsid w:val="00631135"/>
    <w:rsid w:val="006327CE"/>
    <w:rsid w:val="00633250"/>
    <w:rsid w:val="006344D8"/>
    <w:rsid w:val="00634C62"/>
    <w:rsid w:val="006373F9"/>
    <w:rsid w:val="00645614"/>
    <w:rsid w:val="00645C62"/>
    <w:rsid w:val="006466EC"/>
    <w:rsid w:val="00646988"/>
    <w:rsid w:val="00647D0C"/>
    <w:rsid w:val="00647EC5"/>
    <w:rsid w:val="00647F85"/>
    <w:rsid w:val="00650F32"/>
    <w:rsid w:val="00653F1A"/>
    <w:rsid w:val="006544B5"/>
    <w:rsid w:val="006620CB"/>
    <w:rsid w:val="0066226C"/>
    <w:rsid w:val="00662B18"/>
    <w:rsid w:val="006674C8"/>
    <w:rsid w:val="006740B2"/>
    <w:rsid w:val="00676B40"/>
    <w:rsid w:val="006800DA"/>
    <w:rsid w:val="00682345"/>
    <w:rsid w:val="006847D0"/>
    <w:rsid w:val="006868A2"/>
    <w:rsid w:val="00695E6B"/>
    <w:rsid w:val="00697921"/>
    <w:rsid w:val="00697ECD"/>
    <w:rsid w:val="006A0AF7"/>
    <w:rsid w:val="006A368E"/>
    <w:rsid w:val="006A42A1"/>
    <w:rsid w:val="006A4F5D"/>
    <w:rsid w:val="006A55AE"/>
    <w:rsid w:val="006A6D0D"/>
    <w:rsid w:val="006A72B5"/>
    <w:rsid w:val="006B3D30"/>
    <w:rsid w:val="006B444B"/>
    <w:rsid w:val="006B513C"/>
    <w:rsid w:val="006B61D6"/>
    <w:rsid w:val="006C1BD1"/>
    <w:rsid w:val="006C2198"/>
    <w:rsid w:val="006C37A4"/>
    <w:rsid w:val="006C78B4"/>
    <w:rsid w:val="006C7B47"/>
    <w:rsid w:val="006D064E"/>
    <w:rsid w:val="006D2083"/>
    <w:rsid w:val="006D34BC"/>
    <w:rsid w:val="006D386C"/>
    <w:rsid w:val="006D4D61"/>
    <w:rsid w:val="006D5C98"/>
    <w:rsid w:val="006D5F05"/>
    <w:rsid w:val="006D630C"/>
    <w:rsid w:val="006D6AD5"/>
    <w:rsid w:val="006E09B9"/>
    <w:rsid w:val="006E2036"/>
    <w:rsid w:val="006F204F"/>
    <w:rsid w:val="006F32F2"/>
    <w:rsid w:val="007000A0"/>
    <w:rsid w:val="0070338D"/>
    <w:rsid w:val="007066AC"/>
    <w:rsid w:val="00711605"/>
    <w:rsid w:val="0071404E"/>
    <w:rsid w:val="00714C7B"/>
    <w:rsid w:val="00726AEC"/>
    <w:rsid w:val="00726C03"/>
    <w:rsid w:val="00731BCB"/>
    <w:rsid w:val="00731CA3"/>
    <w:rsid w:val="00733350"/>
    <w:rsid w:val="00733440"/>
    <w:rsid w:val="00736C63"/>
    <w:rsid w:val="00740CE9"/>
    <w:rsid w:val="007435C5"/>
    <w:rsid w:val="00743D3A"/>
    <w:rsid w:val="007471AC"/>
    <w:rsid w:val="00747672"/>
    <w:rsid w:val="007479F6"/>
    <w:rsid w:val="007508A3"/>
    <w:rsid w:val="00751C1E"/>
    <w:rsid w:val="00754259"/>
    <w:rsid w:val="00754EE0"/>
    <w:rsid w:val="007564A9"/>
    <w:rsid w:val="00757AC4"/>
    <w:rsid w:val="00757F60"/>
    <w:rsid w:val="00763B50"/>
    <w:rsid w:val="00764C52"/>
    <w:rsid w:val="00770149"/>
    <w:rsid w:val="00770FCD"/>
    <w:rsid w:val="00771DD1"/>
    <w:rsid w:val="00772395"/>
    <w:rsid w:val="007725DE"/>
    <w:rsid w:val="007743D6"/>
    <w:rsid w:val="00775DEF"/>
    <w:rsid w:val="007760EA"/>
    <w:rsid w:val="0077614A"/>
    <w:rsid w:val="00781744"/>
    <w:rsid w:val="00782A76"/>
    <w:rsid w:val="00786AA0"/>
    <w:rsid w:val="00786B1B"/>
    <w:rsid w:val="00787D7A"/>
    <w:rsid w:val="00793852"/>
    <w:rsid w:val="007947C0"/>
    <w:rsid w:val="007954B6"/>
    <w:rsid w:val="00795E89"/>
    <w:rsid w:val="00797BF2"/>
    <w:rsid w:val="007A052A"/>
    <w:rsid w:val="007A1406"/>
    <w:rsid w:val="007A229D"/>
    <w:rsid w:val="007A26B6"/>
    <w:rsid w:val="007A29A3"/>
    <w:rsid w:val="007A4E2B"/>
    <w:rsid w:val="007A5D0F"/>
    <w:rsid w:val="007A683A"/>
    <w:rsid w:val="007A720C"/>
    <w:rsid w:val="007A76E5"/>
    <w:rsid w:val="007A77C3"/>
    <w:rsid w:val="007A77D7"/>
    <w:rsid w:val="007B498C"/>
    <w:rsid w:val="007B4D10"/>
    <w:rsid w:val="007B5644"/>
    <w:rsid w:val="007B58E9"/>
    <w:rsid w:val="007B77E7"/>
    <w:rsid w:val="007B7809"/>
    <w:rsid w:val="007C519B"/>
    <w:rsid w:val="007D1084"/>
    <w:rsid w:val="007D2A53"/>
    <w:rsid w:val="007D416D"/>
    <w:rsid w:val="007D5DCC"/>
    <w:rsid w:val="007D5E0C"/>
    <w:rsid w:val="007D7B93"/>
    <w:rsid w:val="007E0CDA"/>
    <w:rsid w:val="007E31E9"/>
    <w:rsid w:val="007E4B24"/>
    <w:rsid w:val="007F0587"/>
    <w:rsid w:val="007F0EB8"/>
    <w:rsid w:val="007F2603"/>
    <w:rsid w:val="007F26CA"/>
    <w:rsid w:val="007F28A3"/>
    <w:rsid w:val="007F54FD"/>
    <w:rsid w:val="007F606F"/>
    <w:rsid w:val="00800491"/>
    <w:rsid w:val="008012AC"/>
    <w:rsid w:val="00801499"/>
    <w:rsid w:val="0080221F"/>
    <w:rsid w:val="00803333"/>
    <w:rsid w:val="00804018"/>
    <w:rsid w:val="00806502"/>
    <w:rsid w:val="008072A8"/>
    <w:rsid w:val="00816958"/>
    <w:rsid w:val="0082180F"/>
    <w:rsid w:val="00821BB2"/>
    <w:rsid w:val="00821D0F"/>
    <w:rsid w:val="00823698"/>
    <w:rsid w:val="00824683"/>
    <w:rsid w:val="0082634C"/>
    <w:rsid w:val="00826AEA"/>
    <w:rsid w:val="00834544"/>
    <w:rsid w:val="0083522E"/>
    <w:rsid w:val="0083660C"/>
    <w:rsid w:val="00836AFB"/>
    <w:rsid w:val="00837952"/>
    <w:rsid w:val="00841D3E"/>
    <w:rsid w:val="008423D7"/>
    <w:rsid w:val="00844246"/>
    <w:rsid w:val="00844EBD"/>
    <w:rsid w:val="0084692B"/>
    <w:rsid w:val="00852A48"/>
    <w:rsid w:val="0085662A"/>
    <w:rsid w:val="0086135D"/>
    <w:rsid w:val="008648BE"/>
    <w:rsid w:val="008653FD"/>
    <w:rsid w:val="00865D99"/>
    <w:rsid w:val="008660CC"/>
    <w:rsid w:val="00866BF5"/>
    <w:rsid w:val="00866F3C"/>
    <w:rsid w:val="00870996"/>
    <w:rsid w:val="008716D6"/>
    <w:rsid w:val="00872240"/>
    <w:rsid w:val="00875397"/>
    <w:rsid w:val="00876183"/>
    <w:rsid w:val="00880B32"/>
    <w:rsid w:val="00880C74"/>
    <w:rsid w:val="00880D04"/>
    <w:rsid w:val="008841B1"/>
    <w:rsid w:val="008851D7"/>
    <w:rsid w:val="00886557"/>
    <w:rsid w:val="00887B83"/>
    <w:rsid w:val="00892340"/>
    <w:rsid w:val="008A0B3B"/>
    <w:rsid w:val="008A3599"/>
    <w:rsid w:val="008A36C5"/>
    <w:rsid w:val="008A7B3C"/>
    <w:rsid w:val="008A7B88"/>
    <w:rsid w:val="008B1B51"/>
    <w:rsid w:val="008B25DA"/>
    <w:rsid w:val="008B2849"/>
    <w:rsid w:val="008B2A8A"/>
    <w:rsid w:val="008C0966"/>
    <w:rsid w:val="008C2212"/>
    <w:rsid w:val="008C28A7"/>
    <w:rsid w:val="008C3117"/>
    <w:rsid w:val="008C6BB9"/>
    <w:rsid w:val="008C7430"/>
    <w:rsid w:val="008D07EC"/>
    <w:rsid w:val="008D0C39"/>
    <w:rsid w:val="008D196F"/>
    <w:rsid w:val="008D2A97"/>
    <w:rsid w:val="008D2C7C"/>
    <w:rsid w:val="008D389E"/>
    <w:rsid w:val="008D5BE9"/>
    <w:rsid w:val="008E2278"/>
    <w:rsid w:val="008E6A76"/>
    <w:rsid w:val="008E7A14"/>
    <w:rsid w:val="008F1CCC"/>
    <w:rsid w:val="008F276A"/>
    <w:rsid w:val="008F39D4"/>
    <w:rsid w:val="008F4D5D"/>
    <w:rsid w:val="008F5903"/>
    <w:rsid w:val="008F5EFB"/>
    <w:rsid w:val="00900945"/>
    <w:rsid w:val="009014EC"/>
    <w:rsid w:val="00901EBA"/>
    <w:rsid w:val="009048CE"/>
    <w:rsid w:val="00904E5C"/>
    <w:rsid w:val="0091239C"/>
    <w:rsid w:val="009138C2"/>
    <w:rsid w:val="00922C58"/>
    <w:rsid w:val="00925C67"/>
    <w:rsid w:val="0093486B"/>
    <w:rsid w:val="0093505E"/>
    <w:rsid w:val="00937A0A"/>
    <w:rsid w:val="00940E85"/>
    <w:rsid w:val="00944DB0"/>
    <w:rsid w:val="0094504F"/>
    <w:rsid w:val="00946C8E"/>
    <w:rsid w:val="00947094"/>
    <w:rsid w:val="0095048C"/>
    <w:rsid w:val="00952287"/>
    <w:rsid w:val="009547CD"/>
    <w:rsid w:val="00954963"/>
    <w:rsid w:val="00962246"/>
    <w:rsid w:val="00963DF7"/>
    <w:rsid w:val="00966459"/>
    <w:rsid w:val="00971247"/>
    <w:rsid w:val="009745EC"/>
    <w:rsid w:val="009802D5"/>
    <w:rsid w:val="00987D40"/>
    <w:rsid w:val="00990790"/>
    <w:rsid w:val="00990CCF"/>
    <w:rsid w:val="00991751"/>
    <w:rsid w:val="00992CD7"/>
    <w:rsid w:val="00993964"/>
    <w:rsid w:val="00997556"/>
    <w:rsid w:val="009A455E"/>
    <w:rsid w:val="009A6ACA"/>
    <w:rsid w:val="009A75CE"/>
    <w:rsid w:val="009B2303"/>
    <w:rsid w:val="009B3DF2"/>
    <w:rsid w:val="009B76BF"/>
    <w:rsid w:val="009C03B2"/>
    <w:rsid w:val="009C6592"/>
    <w:rsid w:val="009D3732"/>
    <w:rsid w:val="009E4012"/>
    <w:rsid w:val="009F1E13"/>
    <w:rsid w:val="009F2A4B"/>
    <w:rsid w:val="009F4479"/>
    <w:rsid w:val="009F4643"/>
    <w:rsid w:val="009F6F83"/>
    <w:rsid w:val="009F71CB"/>
    <w:rsid w:val="00A037CF"/>
    <w:rsid w:val="00A04060"/>
    <w:rsid w:val="00A044BB"/>
    <w:rsid w:val="00A06F11"/>
    <w:rsid w:val="00A105C7"/>
    <w:rsid w:val="00A1198E"/>
    <w:rsid w:val="00A16077"/>
    <w:rsid w:val="00A20053"/>
    <w:rsid w:val="00A22F07"/>
    <w:rsid w:val="00A2353B"/>
    <w:rsid w:val="00A254E9"/>
    <w:rsid w:val="00A255B5"/>
    <w:rsid w:val="00A25CC0"/>
    <w:rsid w:val="00A26417"/>
    <w:rsid w:val="00A27D5C"/>
    <w:rsid w:val="00A36ABD"/>
    <w:rsid w:val="00A40F50"/>
    <w:rsid w:val="00A4324E"/>
    <w:rsid w:val="00A45A7F"/>
    <w:rsid w:val="00A46AA1"/>
    <w:rsid w:val="00A479AE"/>
    <w:rsid w:val="00A47EB2"/>
    <w:rsid w:val="00A52B9F"/>
    <w:rsid w:val="00A53153"/>
    <w:rsid w:val="00A55439"/>
    <w:rsid w:val="00A6106F"/>
    <w:rsid w:val="00A641F5"/>
    <w:rsid w:val="00A64B5E"/>
    <w:rsid w:val="00A64D49"/>
    <w:rsid w:val="00A65F27"/>
    <w:rsid w:val="00A70730"/>
    <w:rsid w:val="00A80895"/>
    <w:rsid w:val="00A81893"/>
    <w:rsid w:val="00A855F5"/>
    <w:rsid w:val="00A86309"/>
    <w:rsid w:val="00A907AD"/>
    <w:rsid w:val="00A91EBF"/>
    <w:rsid w:val="00A9695E"/>
    <w:rsid w:val="00A97820"/>
    <w:rsid w:val="00AA2D60"/>
    <w:rsid w:val="00AA3E89"/>
    <w:rsid w:val="00AA6855"/>
    <w:rsid w:val="00AB201B"/>
    <w:rsid w:val="00AB37E0"/>
    <w:rsid w:val="00AB3B2A"/>
    <w:rsid w:val="00AB5C71"/>
    <w:rsid w:val="00AB6000"/>
    <w:rsid w:val="00AB60A6"/>
    <w:rsid w:val="00AC0DA5"/>
    <w:rsid w:val="00AC14B0"/>
    <w:rsid w:val="00AC4DFC"/>
    <w:rsid w:val="00AD3716"/>
    <w:rsid w:val="00AD3F7D"/>
    <w:rsid w:val="00AD4F53"/>
    <w:rsid w:val="00AD684D"/>
    <w:rsid w:val="00AE284F"/>
    <w:rsid w:val="00AE5062"/>
    <w:rsid w:val="00AE6944"/>
    <w:rsid w:val="00AF03BF"/>
    <w:rsid w:val="00AF1608"/>
    <w:rsid w:val="00AF1F02"/>
    <w:rsid w:val="00AF3176"/>
    <w:rsid w:val="00AF5EE4"/>
    <w:rsid w:val="00AF7BCE"/>
    <w:rsid w:val="00B00CF8"/>
    <w:rsid w:val="00B03792"/>
    <w:rsid w:val="00B05150"/>
    <w:rsid w:val="00B06CDB"/>
    <w:rsid w:val="00B076FF"/>
    <w:rsid w:val="00B1162C"/>
    <w:rsid w:val="00B20123"/>
    <w:rsid w:val="00B229C6"/>
    <w:rsid w:val="00B24476"/>
    <w:rsid w:val="00B24EDF"/>
    <w:rsid w:val="00B25060"/>
    <w:rsid w:val="00B36452"/>
    <w:rsid w:val="00B364E6"/>
    <w:rsid w:val="00B36C43"/>
    <w:rsid w:val="00B36C6A"/>
    <w:rsid w:val="00B419D9"/>
    <w:rsid w:val="00B43984"/>
    <w:rsid w:val="00B516EE"/>
    <w:rsid w:val="00B52483"/>
    <w:rsid w:val="00B558DE"/>
    <w:rsid w:val="00B57604"/>
    <w:rsid w:val="00B6186B"/>
    <w:rsid w:val="00B6286F"/>
    <w:rsid w:val="00B63640"/>
    <w:rsid w:val="00B63EDE"/>
    <w:rsid w:val="00B65CB3"/>
    <w:rsid w:val="00B67760"/>
    <w:rsid w:val="00B752F9"/>
    <w:rsid w:val="00B77B21"/>
    <w:rsid w:val="00B81B96"/>
    <w:rsid w:val="00B821CD"/>
    <w:rsid w:val="00B830C7"/>
    <w:rsid w:val="00B8540D"/>
    <w:rsid w:val="00B858F0"/>
    <w:rsid w:val="00B910FA"/>
    <w:rsid w:val="00B9130F"/>
    <w:rsid w:val="00B92283"/>
    <w:rsid w:val="00B939F8"/>
    <w:rsid w:val="00B941B3"/>
    <w:rsid w:val="00B975F3"/>
    <w:rsid w:val="00BA0623"/>
    <w:rsid w:val="00BA0A8A"/>
    <w:rsid w:val="00BA139C"/>
    <w:rsid w:val="00BA6835"/>
    <w:rsid w:val="00BA6D62"/>
    <w:rsid w:val="00BB02B3"/>
    <w:rsid w:val="00BB1603"/>
    <w:rsid w:val="00BB3543"/>
    <w:rsid w:val="00BB5C34"/>
    <w:rsid w:val="00BC0831"/>
    <w:rsid w:val="00BC1244"/>
    <w:rsid w:val="00BC1B71"/>
    <w:rsid w:val="00BC2BF4"/>
    <w:rsid w:val="00BC2E9E"/>
    <w:rsid w:val="00BC3CDA"/>
    <w:rsid w:val="00BC4D2A"/>
    <w:rsid w:val="00BC51D6"/>
    <w:rsid w:val="00BC576D"/>
    <w:rsid w:val="00BC5A25"/>
    <w:rsid w:val="00BD1394"/>
    <w:rsid w:val="00BD13FE"/>
    <w:rsid w:val="00BD7E1F"/>
    <w:rsid w:val="00BE3BB0"/>
    <w:rsid w:val="00BE7434"/>
    <w:rsid w:val="00BF04A7"/>
    <w:rsid w:val="00BF409E"/>
    <w:rsid w:val="00BF56C9"/>
    <w:rsid w:val="00BF5DA3"/>
    <w:rsid w:val="00BF7B38"/>
    <w:rsid w:val="00C01606"/>
    <w:rsid w:val="00C02A04"/>
    <w:rsid w:val="00C04224"/>
    <w:rsid w:val="00C15559"/>
    <w:rsid w:val="00C1584C"/>
    <w:rsid w:val="00C15D82"/>
    <w:rsid w:val="00C163B2"/>
    <w:rsid w:val="00C16686"/>
    <w:rsid w:val="00C16899"/>
    <w:rsid w:val="00C16D53"/>
    <w:rsid w:val="00C16F63"/>
    <w:rsid w:val="00C2426C"/>
    <w:rsid w:val="00C2776A"/>
    <w:rsid w:val="00C338B0"/>
    <w:rsid w:val="00C33C1B"/>
    <w:rsid w:val="00C349B3"/>
    <w:rsid w:val="00C34C5A"/>
    <w:rsid w:val="00C35767"/>
    <w:rsid w:val="00C35B2E"/>
    <w:rsid w:val="00C37BCA"/>
    <w:rsid w:val="00C47FDA"/>
    <w:rsid w:val="00C50A23"/>
    <w:rsid w:val="00C50B57"/>
    <w:rsid w:val="00C52610"/>
    <w:rsid w:val="00C558A2"/>
    <w:rsid w:val="00C61057"/>
    <w:rsid w:val="00C62443"/>
    <w:rsid w:val="00C641A9"/>
    <w:rsid w:val="00C659A5"/>
    <w:rsid w:val="00C66D50"/>
    <w:rsid w:val="00C6775D"/>
    <w:rsid w:val="00C72335"/>
    <w:rsid w:val="00C74518"/>
    <w:rsid w:val="00C7643F"/>
    <w:rsid w:val="00C77FD5"/>
    <w:rsid w:val="00C823D0"/>
    <w:rsid w:val="00C8400A"/>
    <w:rsid w:val="00C841C9"/>
    <w:rsid w:val="00C860CB"/>
    <w:rsid w:val="00C87D2E"/>
    <w:rsid w:val="00C90799"/>
    <w:rsid w:val="00C90A82"/>
    <w:rsid w:val="00C9104C"/>
    <w:rsid w:val="00C94144"/>
    <w:rsid w:val="00C94990"/>
    <w:rsid w:val="00C95598"/>
    <w:rsid w:val="00CA34B4"/>
    <w:rsid w:val="00CB2970"/>
    <w:rsid w:val="00CB6471"/>
    <w:rsid w:val="00CC1DDB"/>
    <w:rsid w:val="00CC26AB"/>
    <w:rsid w:val="00CC2D85"/>
    <w:rsid w:val="00CC4504"/>
    <w:rsid w:val="00CD0CD9"/>
    <w:rsid w:val="00CD160C"/>
    <w:rsid w:val="00CD66E3"/>
    <w:rsid w:val="00CD7616"/>
    <w:rsid w:val="00CE150F"/>
    <w:rsid w:val="00CE2CED"/>
    <w:rsid w:val="00CE52E9"/>
    <w:rsid w:val="00CE5CB0"/>
    <w:rsid w:val="00CE6306"/>
    <w:rsid w:val="00CE6A7F"/>
    <w:rsid w:val="00CF016B"/>
    <w:rsid w:val="00CF04F3"/>
    <w:rsid w:val="00CF1ADA"/>
    <w:rsid w:val="00CF33E9"/>
    <w:rsid w:val="00CF36F8"/>
    <w:rsid w:val="00CF4FD9"/>
    <w:rsid w:val="00D01679"/>
    <w:rsid w:val="00D04C02"/>
    <w:rsid w:val="00D05E61"/>
    <w:rsid w:val="00D066C7"/>
    <w:rsid w:val="00D06F8B"/>
    <w:rsid w:val="00D070D1"/>
    <w:rsid w:val="00D10F0A"/>
    <w:rsid w:val="00D1322E"/>
    <w:rsid w:val="00D13370"/>
    <w:rsid w:val="00D15912"/>
    <w:rsid w:val="00D159E7"/>
    <w:rsid w:val="00D200D9"/>
    <w:rsid w:val="00D22C33"/>
    <w:rsid w:val="00D22D08"/>
    <w:rsid w:val="00D22DA8"/>
    <w:rsid w:val="00D254B3"/>
    <w:rsid w:val="00D25692"/>
    <w:rsid w:val="00D3267D"/>
    <w:rsid w:val="00D36542"/>
    <w:rsid w:val="00D36F8C"/>
    <w:rsid w:val="00D37182"/>
    <w:rsid w:val="00D44584"/>
    <w:rsid w:val="00D470A4"/>
    <w:rsid w:val="00D47671"/>
    <w:rsid w:val="00D52629"/>
    <w:rsid w:val="00D528A7"/>
    <w:rsid w:val="00D529B4"/>
    <w:rsid w:val="00D6076C"/>
    <w:rsid w:val="00D6213E"/>
    <w:rsid w:val="00D62E0B"/>
    <w:rsid w:val="00D643BE"/>
    <w:rsid w:val="00D66D93"/>
    <w:rsid w:val="00D66E56"/>
    <w:rsid w:val="00D77C4C"/>
    <w:rsid w:val="00D8148C"/>
    <w:rsid w:val="00D81D0F"/>
    <w:rsid w:val="00D83178"/>
    <w:rsid w:val="00D84BB3"/>
    <w:rsid w:val="00D84E97"/>
    <w:rsid w:val="00D864E3"/>
    <w:rsid w:val="00D93121"/>
    <w:rsid w:val="00D950B3"/>
    <w:rsid w:val="00DA5475"/>
    <w:rsid w:val="00DA7968"/>
    <w:rsid w:val="00DB1BAE"/>
    <w:rsid w:val="00DB3276"/>
    <w:rsid w:val="00DB63DE"/>
    <w:rsid w:val="00DC110C"/>
    <w:rsid w:val="00DC1BE7"/>
    <w:rsid w:val="00DC5038"/>
    <w:rsid w:val="00DC63E2"/>
    <w:rsid w:val="00DC6AA8"/>
    <w:rsid w:val="00DD1ECD"/>
    <w:rsid w:val="00DD5C41"/>
    <w:rsid w:val="00DD6D4A"/>
    <w:rsid w:val="00DE399A"/>
    <w:rsid w:val="00DE3E23"/>
    <w:rsid w:val="00DE47EE"/>
    <w:rsid w:val="00DE5486"/>
    <w:rsid w:val="00DE7A9C"/>
    <w:rsid w:val="00DF0860"/>
    <w:rsid w:val="00DF2C09"/>
    <w:rsid w:val="00DF2D86"/>
    <w:rsid w:val="00DF2E6F"/>
    <w:rsid w:val="00DF6F4D"/>
    <w:rsid w:val="00DF7D69"/>
    <w:rsid w:val="00E00A0F"/>
    <w:rsid w:val="00E04C14"/>
    <w:rsid w:val="00E06278"/>
    <w:rsid w:val="00E06DB9"/>
    <w:rsid w:val="00E11475"/>
    <w:rsid w:val="00E1165A"/>
    <w:rsid w:val="00E14978"/>
    <w:rsid w:val="00E14CAA"/>
    <w:rsid w:val="00E1657A"/>
    <w:rsid w:val="00E174D4"/>
    <w:rsid w:val="00E2212C"/>
    <w:rsid w:val="00E22F32"/>
    <w:rsid w:val="00E26FA6"/>
    <w:rsid w:val="00E33B25"/>
    <w:rsid w:val="00E349D3"/>
    <w:rsid w:val="00E359B6"/>
    <w:rsid w:val="00E36910"/>
    <w:rsid w:val="00E36A8C"/>
    <w:rsid w:val="00E40FCC"/>
    <w:rsid w:val="00E41EE1"/>
    <w:rsid w:val="00E44AAC"/>
    <w:rsid w:val="00E44F7B"/>
    <w:rsid w:val="00E470B7"/>
    <w:rsid w:val="00E47247"/>
    <w:rsid w:val="00E51657"/>
    <w:rsid w:val="00E53CE0"/>
    <w:rsid w:val="00E57A97"/>
    <w:rsid w:val="00E60EB4"/>
    <w:rsid w:val="00E62551"/>
    <w:rsid w:val="00E6557F"/>
    <w:rsid w:val="00E6609A"/>
    <w:rsid w:val="00E73D88"/>
    <w:rsid w:val="00E77574"/>
    <w:rsid w:val="00E801AB"/>
    <w:rsid w:val="00E81CA0"/>
    <w:rsid w:val="00E83493"/>
    <w:rsid w:val="00E8638B"/>
    <w:rsid w:val="00E8752A"/>
    <w:rsid w:val="00E9232F"/>
    <w:rsid w:val="00E93983"/>
    <w:rsid w:val="00E93987"/>
    <w:rsid w:val="00E95103"/>
    <w:rsid w:val="00E9547A"/>
    <w:rsid w:val="00EA0C88"/>
    <w:rsid w:val="00EA22D6"/>
    <w:rsid w:val="00EA3BA5"/>
    <w:rsid w:val="00EA4044"/>
    <w:rsid w:val="00EA4159"/>
    <w:rsid w:val="00EA480B"/>
    <w:rsid w:val="00EB1153"/>
    <w:rsid w:val="00EB3145"/>
    <w:rsid w:val="00EB4800"/>
    <w:rsid w:val="00EB6B42"/>
    <w:rsid w:val="00EB7C83"/>
    <w:rsid w:val="00EC1225"/>
    <w:rsid w:val="00EC1A9D"/>
    <w:rsid w:val="00EC43BC"/>
    <w:rsid w:val="00EC458E"/>
    <w:rsid w:val="00EC7995"/>
    <w:rsid w:val="00ED45BF"/>
    <w:rsid w:val="00ED51BA"/>
    <w:rsid w:val="00ED56C6"/>
    <w:rsid w:val="00ED7E09"/>
    <w:rsid w:val="00EE0B5F"/>
    <w:rsid w:val="00EE4922"/>
    <w:rsid w:val="00EE553B"/>
    <w:rsid w:val="00EE5699"/>
    <w:rsid w:val="00EE6333"/>
    <w:rsid w:val="00EF0C49"/>
    <w:rsid w:val="00EF10A0"/>
    <w:rsid w:val="00EF211D"/>
    <w:rsid w:val="00EF3D19"/>
    <w:rsid w:val="00EF61F7"/>
    <w:rsid w:val="00EF6C19"/>
    <w:rsid w:val="00F00451"/>
    <w:rsid w:val="00F00A02"/>
    <w:rsid w:val="00F01EBC"/>
    <w:rsid w:val="00F028BD"/>
    <w:rsid w:val="00F02A97"/>
    <w:rsid w:val="00F03556"/>
    <w:rsid w:val="00F0419B"/>
    <w:rsid w:val="00F04DFA"/>
    <w:rsid w:val="00F06A33"/>
    <w:rsid w:val="00F103C1"/>
    <w:rsid w:val="00F115F6"/>
    <w:rsid w:val="00F1167B"/>
    <w:rsid w:val="00F11927"/>
    <w:rsid w:val="00F130A9"/>
    <w:rsid w:val="00F15660"/>
    <w:rsid w:val="00F15CD6"/>
    <w:rsid w:val="00F16FFD"/>
    <w:rsid w:val="00F221FA"/>
    <w:rsid w:val="00F30869"/>
    <w:rsid w:val="00F330A6"/>
    <w:rsid w:val="00F339C0"/>
    <w:rsid w:val="00F3417A"/>
    <w:rsid w:val="00F3534B"/>
    <w:rsid w:val="00F36346"/>
    <w:rsid w:val="00F3649C"/>
    <w:rsid w:val="00F365B0"/>
    <w:rsid w:val="00F36849"/>
    <w:rsid w:val="00F3696D"/>
    <w:rsid w:val="00F413D0"/>
    <w:rsid w:val="00F4275C"/>
    <w:rsid w:val="00F510A0"/>
    <w:rsid w:val="00F513BC"/>
    <w:rsid w:val="00F565C9"/>
    <w:rsid w:val="00F56D41"/>
    <w:rsid w:val="00F6410D"/>
    <w:rsid w:val="00F73327"/>
    <w:rsid w:val="00F809FB"/>
    <w:rsid w:val="00F866EC"/>
    <w:rsid w:val="00F91E48"/>
    <w:rsid w:val="00F9236C"/>
    <w:rsid w:val="00F93375"/>
    <w:rsid w:val="00F95F4C"/>
    <w:rsid w:val="00F9648F"/>
    <w:rsid w:val="00F979A4"/>
    <w:rsid w:val="00FA09C2"/>
    <w:rsid w:val="00FA1684"/>
    <w:rsid w:val="00FA427D"/>
    <w:rsid w:val="00FB1CDA"/>
    <w:rsid w:val="00FB3D89"/>
    <w:rsid w:val="00FB5AE0"/>
    <w:rsid w:val="00FB5FD1"/>
    <w:rsid w:val="00FB75A1"/>
    <w:rsid w:val="00FC3E83"/>
    <w:rsid w:val="00FC5A17"/>
    <w:rsid w:val="00FC6225"/>
    <w:rsid w:val="00FC6A7D"/>
    <w:rsid w:val="00FC71F7"/>
    <w:rsid w:val="00FD177B"/>
    <w:rsid w:val="00FD3234"/>
    <w:rsid w:val="00FD4B47"/>
    <w:rsid w:val="00FD4C70"/>
    <w:rsid w:val="00FD7451"/>
    <w:rsid w:val="00FE2B6F"/>
    <w:rsid w:val="00FE4D16"/>
    <w:rsid w:val="00FE5673"/>
    <w:rsid w:val="00FE5AAD"/>
    <w:rsid w:val="00FF26A5"/>
    <w:rsid w:val="00FF2B0F"/>
    <w:rsid w:val="00FF43A6"/>
    <w:rsid w:val="00FF666B"/>
    <w:rsid w:val="00FF71B9"/>
    <w:rsid w:val="01149902"/>
    <w:rsid w:val="04D01924"/>
    <w:rsid w:val="0520E446"/>
    <w:rsid w:val="06561CBC"/>
    <w:rsid w:val="07B4A7BE"/>
    <w:rsid w:val="08A23EB0"/>
    <w:rsid w:val="097D02D1"/>
    <w:rsid w:val="0AE87BC7"/>
    <w:rsid w:val="0AFD05DD"/>
    <w:rsid w:val="0BA8AAD9"/>
    <w:rsid w:val="0BDC8600"/>
    <w:rsid w:val="0CBE19D6"/>
    <w:rsid w:val="0D357904"/>
    <w:rsid w:val="0D6B51B0"/>
    <w:rsid w:val="0DBB6D42"/>
    <w:rsid w:val="0F225017"/>
    <w:rsid w:val="0FF7010D"/>
    <w:rsid w:val="107A7210"/>
    <w:rsid w:val="115A3A35"/>
    <w:rsid w:val="11652B75"/>
    <w:rsid w:val="11CBB3D5"/>
    <w:rsid w:val="12794731"/>
    <w:rsid w:val="12A57117"/>
    <w:rsid w:val="13BA5020"/>
    <w:rsid w:val="143481C3"/>
    <w:rsid w:val="145BBB23"/>
    <w:rsid w:val="14AEF684"/>
    <w:rsid w:val="150A8435"/>
    <w:rsid w:val="15209A3E"/>
    <w:rsid w:val="16DBBC35"/>
    <w:rsid w:val="1BE79C95"/>
    <w:rsid w:val="1D0D6DEB"/>
    <w:rsid w:val="1FC24885"/>
    <w:rsid w:val="20904A80"/>
    <w:rsid w:val="216DEA32"/>
    <w:rsid w:val="22DEB333"/>
    <w:rsid w:val="26F0F0BE"/>
    <w:rsid w:val="28895852"/>
    <w:rsid w:val="2A74DEEC"/>
    <w:rsid w:val="2B9EB6BC"/>
    <w:rsid w:val="2BC89683"/>
    <w:rsid w:val="2C69876D"/>
    <w:rsid w:val="2CFAE49C"/>
    <w:rsid w:val="2D0C1FE6"/>
    <w:rsid w:val="2E437F70"/>
    <w:rsid w:val="307C148E"/>
    <w:rsid w:val="3098CEB5"/>
    <w:rsid w:val="320ACE87"/>
    <w:rsid w:val="328007EC"/>
    <w:rsid w:val="32F6A3F4"/>
    <w:rsid w:val="3392326D"/>
    <w:rsid w:val="34EDBB41"/>
    <w:rsid w:val="355C83EB"/>
    <w:rsid w:val="3643DA4E"/>
    <w:rsid w:val="379720BF"/>
    <w:rsid w:val="3868A1EB"/>
    <w:rsid w:val="39239C7D"/>
    <w:rsid w:val="3938BFF2"/>
    <w:rsid w:val="3A3233B8"/>
    <w:rsid w:val="3B77ADE3"/>
    <w:rsid w:val="3BC6A593"/>
    <w:rsid w:val="3D829C0F"/>
    <w:rsid w:val="3DEE150E"/>
    <w:rsid w:val="3EEF9E43"/>
    <w:rsid w:val="412A70FE"/>
    <w:rsid w:val="417D1D31"/>
    <w:rsid w:val="421D5AC2"/>
    <w:rsid w:val="42277A6C"/>
    <w:rsid w:val="42592B3D"/>
    <w:rsid w:val="4277BA6D"/>
    <w:rsid w:val="4581106E"/>
    <w:rsid w:val="4616F1D9"/>
    <w:rsid w:val="46332DA9"/>
    <w:rsid w:val="470AE10F"/>
    <w:rsid w:val="475B7F85"/>
    <w:rsid w:val="4779A9B9"/>
    <w:rsid w:val="47CEFE0A"/>
    <w:rsid w:val="48F6733D"/>
    <w:rsid w:val="490BD5D8"/>
    <w:rsid w:val="4AB8E857"/>
    <w:rsid w:val="4AD86C65"/>
    <w:rsid w:val="4BB3AD84"/>
    <w:rsid w:val="4BDD7AEC"/>
    <w:rsid w:val="4D7464D5"/>
    <w:rsid w:val="4E30CF20"/>
    <w:rsid w:val="4E3AF4D5"/>
    <w:rsid w:val="4E3E3F8E"/>
    <w:rsid w:val="50454186"/>
    <w:rsid w:val="50B0D04B"/>
    <w:rsid w:val="5343DAD0"/>
    <w:rsid w:val="54BE7DD3"/>
    <w:rsid w:val="55D3ADB5"/>
    <w:rsid w:val="576FBEEA"/>
    <w:rsid w:val="5959286F"/>
    <w:rsid w:val="5B39398F"/>
    <w:rsid w:val="5C8E905E"/>
    <w:rsid w:val="5E5C50DE"/>
    <w:rsid w:val="5EA18D57"/>
    <w:rsid w:val="5EFA7A05"/>
    <w:rsid w:val="62955CA5"/>
    <w:rsid w:val="6496F7E4"/>
    <w:rsid w:val="64CB9262"/>
    <w:rsid w:val="64FA065D"/>
    <w:rsid w:val="65611069"/>
    <w:rsid w:val="6587A84F"/>
    <w:rsid w:val="65D8A1F6"/>
    <w:rsid w:val="661000EB"/>
    <w:rsid w:val="66B29A4D"/>
    <w:rsid w:val="67074AF7"/>
    <w:rsid w:val="67BC9C5F"/>
    <w:rsid w:val="6846FB23"/>
    <w:rsid w:val="68566E89"/>
    <w:rsid w:val="685D0F0E"/>
    <w:rsid w:val="68E44362"/>
    <w:rsid w:val="699C6C32"/>
    <w:rsid w:val="6A4A56D4"/>
    <w:rsid w:val="6B337F67"/>
    <w:rsid w:val="6B383C93"/>
    <w:rsid w:val="6BC20F0C"/>
    <w:rsid w:val="6FC7E869"/>
    <w:rsid w:val="71FF8C9E"/>
    <w:rsid w:val="73F33002"/>
    <w:rsid w:val="7515ABAD"/>
    <w:rsid w:val="753B13C3"/>
    <w:rsid w:val="7668855A"/>
    <w:rsid w:val="7675599F"/>
    <w:rsid w:val="768B3B6B"/>
    <w:rsid w:val="76D14BEE"/>
    <w:rsid w:val="7A496293"/>
    <w:rsid w:val="7A8C7239"/>
    <w:rsid w:val="7BB8EDED"/>
    <w:rsid w:val="7CE60859"/>
    <w:rsid w:val="7E62E1EB"/>
    <w:rsid w:val="7ECFC51F"/>
    <w:rsid w:val="7EF62962"/>
    <w:rsid w:val="7F182C1E"/>
    <w:rsid w:val="7FCF3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E1EA"/>
  <w14:defaultImageDpi w14:val="32767"/>
  <w15:chartTrackingRefBased/>
  <w15:docId w15:val="{7A150AE3-7566-437E-A008-AA44A46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0031FD"/>
  </w:style>
  <w:style w:type="paragraph" w:styleId="Heading1">
    <w:name w:val="heading 1"/>
    <w:basedOn w:val="Normal"/>
    <w:next w:val="BodyText"/>
    <w:link w:val="Heading1Char"/>
    <w:qFormat/>
    <w:rsid w:val="0058698C"/>
    <w:pPr>
      <w:keepNext/>
      <w:numPr>
        <w:numId w:val="1"/>
      </w:numPr>
      <w:suppressAutoHyphens/>
      <w:outlineLvl w:val="0"/>
    </w:pPr>
    <w:rPr>
      <w:rFonts w:ascii="Times New Roman" w:eastAsia="Times New Roman" w:hAnsi="Times New Roman" w:cs="Times New Roman"/>
      <w:b/>
      <w:bC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BA"/>
    <w:pPr>
      <w:tabs>
        <w:tab w:val="center" w:pos="4680"/>
        <w:tab w:val="right" w:pos="9360"/>
      </w:tabs>
    </w:pPr>
  </w:style>
  <w:style w:type="character" w:customStyle="1" w:styleId="HeaderChar">
    <w:name w:val="Header Char"/>
    <w:basedOn w:val="DefaultParagraphFont"/>
    <w:link w:val="Header"/>
    <w:uiPriority w:val="99"/>
    <w:rsid w:val="002D00BA"/>
  </w:style>
  <w:style w:type="paragraph" w:styleId="Footer">
    <w:name w:val="footer"/>
    <w:basedOn w:val="Normal"/>
    <w:link w:val="FooterChar"/>
    <w:uiPriority w:val="99"/>
    <w:unhideWhenUsed/>
    <w:rsid w:val="002D00BA"/>
    <w:pPr>
      <w:tabs>
        <w:tab w:val="center" w:pos="4680"/>
        <w:tab w:val="right" w:pos="9360"/>
      </w:tabs>
    </w:pPr>
  </w:style>
  <w:style w:type="character" w:customStyle="1" w:styleId="FooterChar">
    <w:name w:val="Footer Char"/>
    <w:basedOn w:val="DefaultParagraphFont"/>
    <w:link w:val="Footer"/>
    <w:uiPriority w:val="99"/>
    <w:rsid w:val="002D00BA"/>
  </w:style>
  <w:style w:type="table" w:styleId="TableGrid">
    <w:name w:val="Table Grid"/>
    <w:basedOn w:val="TableNormal"/>
    <w:uiPriority w:val="39"/>
    <w:rsid w:val="004107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7DB"/>
    <w:rPr>
      <w:color w:val="0563C1" w:themeColor="hyperlink"/>
      <w:u w:val="single"/>
    </w:rPr>
  </w:style>
  <w:style w:type="paragraph" w:customStyle="1" w:styleId="Default">
    <w:name w:val="Default"/>
    <w:rsid w:val="004107DB"/>
    <w:pPr>
      <w:autoSpaceDE w:val="0"/>
      <w:autoSpaceDN w:val="0"/>
      <w:adjustRightInd w:val="0"/>
    </w:pPr>
    <w:rPr>
      <w:rFonts w:ascii="SILZQ G+ Gotham" w:hAnsi="SILZQ G+ Gotham" w:cs="SILZQ G+ Gotham"/>
      <w:color w:val="000000"/>
    </w:rPr>
  </w:style>
  <w:style w:type="character" w:customStyle="1" w:styleId="Heading1Char">
    <w:name w:val="Heading 1 Char"/>
    <w:basedOn w:val="DefaultParagraphFont"/>
    <w:link w:val="Heading1"/>
    <w:rsid w:val="0058698C"/>
    <w:rPr>
      <w:rFonts w:ascii="Times New Roman" w:eastAsia="Times New Roman" w:hAnsi="Times New Roman" w:cs="Times New Roman"/>
      <w:b/>
      <w:bCs/>
      <w:kern w:val="1"/>
      <w:lang w:eastAsia="ar-SA"/>
    </w:rPr>
  </w:style>
  <w:style w:type="paragraph" w:styleId="ListParagraph">
    <w:name w:val="List Paragraph"/>
    <w:basedOn w:val="Normal"/>
    <w:link w:val="ListParagraphChar"/>
    <w:uiPriority w:val="34"/>
    <w:qFormat/>
    <w:rsid w:val="0058698C"/>
    <w:pPr>
      <w:spacing w:after="200" w:line="276" w:lineRule="auto"/>
      <w:ind w:left="720"/>
      <w:contextualSpacing/>
    </w:pPr>
    <w:rPr>
      <w:sz w:val="22"/>
      <w:szCs w:val="22"/>
    </w:rPr>
  </w:style>
  <w:style w:type="paragraph" w:styleId="BodyText">
    <w:name w:val="Body Text"/>
    <w:basedOn w:val="Normal"/>
    <w:link w:val="BodyTextChar"/>
    <w:uiPriority w:val="99"/>
    <w:semiHidden/>
    <w:unhideWhenUsed/>
    <w:rsid w:val="0058698C"/>
    <w:pPr>
      <w:spacing w:after="120" w:line="259" w:lineRule="auto"/>
    </w:pPr>
    <w:rPr>
      <w:sz w:val="22"/>
      <w:szCs w:val="22"/>
    </w:rPr>
  </w:style>
  <w:style w:type="character" w:customStyle="1" w:styleId="BodyTextChar">
    <w:name w:val="Body Text Char"/>
    <w:basedOn w:val="DefaultParagraphFont"/>
    <w:link w:val="BodyText"/>
    <w:uiPriority w:val="99"/>
    <w:semiHidden/>
    <w:rsid w:val="0058698C"/>
    <w:rPr>
      <w:sz w:val="22"/>
      <w:szCs w:val="22"/>
    </w:rPr>
  </w:style>
  <w:style w:type="character" w:customStyle="1" w:styleId="ListParagraphChar">
    <w:name w:val="List Paragraph Char"/>
    <w:link w:val="ListParagraph"/>
    <w:uiPriority w:val="34"/>
    <w:locked/>
    <w:rsid w:val="00E1165A"/>
    <w:rPr>
      <w:sz w:val="22"/>
      <w:szCs w:val="22"/>
    </w:rPr>
  </w:style>
  <w:style w:type="character" w:customStyle="1" w:styleId="normaltextrun">
    <w:name w:val="normaltextrun"/>
    <w:basedOn w:val="DefaultParagraphFont"/>
    <w:rsid w:val="00E1165A"/>
  </w:style>
  <w:style w:type="paragraph" w:customStyle="1" w:styleId="paragraph">
    <w:name w:val="paragraph"/>
    <w:basedOn w:val="Normal"/>
    <w:rsid w:val="00E1165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1165A"/>
  </w:style>
  <w:style w:type="character" w:styleId="UnresolvedMention">
    <w:name w:val="Unresolved Mention"/>
    <w:basedOn w:val="DefaultParagraphFont"/>
    <w:uiPriority w:val="99"/>
    <w:rsid w:val="00E1165A"/>
    <w:rPr>
      <w:color w:val="808080"/>
      <w:shd w:val="clear" w:color="auto" w:fill="E6E6E6"/>
    </w:rPr>
  </w:style>
  <w:style w:type="paragraph" w:styleId="BalloonText">
    <w:name w:val="Balloon Text"/>
    <w:basedOn w:val="Normal"/>
    <w:link w:val="BalloonTextChar"/>
    <w:uiPriority w:val="99"/>
    <w:semiHidden/>
    <w:unhideWhenUsed/>
    <w:rsid w:val="00DC1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E7"/>
    <w:rPr>
      <w:rFonts w:ascii="Segoe UI" w:hAnsi="Segoe UI" w:cs="Segoe UI"/>
      <w:sz w:val="18"/>
      <w:szCs w:val="18"/>
    </w:rPr>
  </w:style>
  <w:style w:type="character" w:styleId="CommentReference">
    <w:name w:val="annotation reference"/>
    <w:basedOn w:val="DefaultParagraphFont"/>
    <w:uiPriority w:val="99"/>
    <w:semiHidden/>
    <w:unhideWhenUsed/>
    <w:rsid w:val="00E47247"/>
    <w:rPr>
      <w:sz w:val="16"/>
      <w:szCs w:val="16"/>
    </w:rPr>
  </w:style>
  <w:style w:type="paragraph" w:styleId="CommentText">
    <w:name w:val="annotation text"/>
    <w:basedOn w:val="Normal"/>
    <w:link w:val="CommentTextChar"/>
    <w:uiPriority w:val="99"/>
    <w:semiHidden/>
    <w:unhideWhenUsed/>
    <w:rsid w:val="00E47247"/>
    <w:rPr>
      <w:sz w:val="20"/>
      <w:szCs w:val="20"/>
    </w:rPr>
  </w:style>
  <w:style w:type="character" w:customStyle="1" w:styleId="CommentTextChar">
    <w:name w:val="Comment Text Char"/>
    <w:basedOn w:val="DefaultParagraphFont"/>
    <w:link w:val="CommentText"/>
    <w:uiPriority w:val="99"/>
    <w:semiHidden/>
    <w:rsid w:val="00E47247"/>
    <w:rPr>
      <w:sz w:val="20"/>
      <w:szCs w:val="20"/>
    </w:rPr>
  </w:style>
  <w:style w:type="paragraph" w:styleId="CommentSubject">
    <w:name w:val="annotation subject"/>
    <w:basedOn w:val="CommentText"/>
    <w:next w:val="CommentText"/>
    <w:link w:val="CommentSubjectChar"/>
    <w:uiPriority w:val="99"/>
    <w:semiHidden/>
    <w:unhideWhenUsed/>
    <w:rsid w:val="00E47247"/>
    <w:rPr>
      <w:b/>
      <w:bCs/>
    </w:rPr>
  </w:style>
  <w:style w:type="character" w:customStyle="1" w:styleId="CommentSubjectChar">
    <w:name w:val="Comment Subject Char"/>
    <w:basedOn w:val="CommentTextChar"/>
    <w:link w:val="CommentSubject"/>
    <w:uiPriority w:val="99"/>
    <w:semiHidden/>
    <w:rsid w:val="00E47247"/>
    <w:rPr>
      <w:b/>
      <w:bCs/>
      <w:sz w:val="20"/>
      <w:szCs w:val="20"/>
    </w:rPr>
  </w:style>
  <w:style w:type="paragraph" w:styleId="Revision">
    <w:name w:val="Revision"/>
    <w:hidden/>
    <w:uiPriority w:val="99"/>
    <w:semiHidden/>
    <w:rsid w:val="00400CA0"/>
  </w:style>
  <w:style w:type="character" w:styleId="FollowedHyperlink">
    <w:name w:val="FollowedHyperlink"/>
    <w:basedOn w:val="DefaultParagraphFont"/>
    <w:uiPriority w:val="99"/>
    <w:semiHidden/>
    <w:unhideWhenUsed/>
    <w:rsid w:val="006544B5"/>
    <w:rPr>
      <w:color w:val="954F72" w:themeColor="followedHyperlink"/>
      <w:u w:val="single"/>
    </w:rPr>
  </w:style>
  <w:style w:type="table" w:customStyle="1" w:styleId="TableGrid1">
    <w:name w:val="Table Grid1"/>
    <w:basedOn w:val="TableNormal"/>
    <w:next w:val="TableGrid"/>
    <w:uiPriority w:val="39"/>
    <w:rsid w:val="002B4E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3B32"/>
    <w:rPr>
      <w:sz w:val="20"/>
      <w:szCs w:val="20"/>
    </w:rPr>
  </w:style>
  <w:style w:type="character" w:customStyle="1" w:styleId="FootnoteTextChar">
    <w:name w:val="Footnote Text Char"/>
    <w:basedOn w:val="DefaultParagraphFont"/>
    <w:link w:val="FootnoteText"/>
    <w:uiPriority w:val="99"/>
    <w:semiHidden/>
    <w:rsid w:val="00363B32"/>
    <w:rPr>
      <w:sz w:val="20"/>
      <w:szCs w:val="20"/>
    </w:rPr>
  </w:style>
  <w:style w:type="character" w:styleId="FootnoteReference">
    <w:name w:val="footnote reference"/>
    <w:basedOn w:val="DefaultParagraphFont"/>
    <w:uiPriority w:val="99"/>
    <w:semiHidden/>
    <w:unhideWhenUsed/>
    <w:rsid w:val="00363B32"/>
    <w:rPr>
      <w:vertAlign w:val="superscript"/>
    </w:rPr>
  </w:style>
  <w:style w:type="paragraph" w:styleId="NormalWeb">
    <w:name w:val="Normal (Web)"/>
    <w:basedOn w:val="Normal"/>
    <w:uiPriority w:val="99"/>
    <w:semiHidden/>
    <w:unhideWhenUsed/>
    <w:rsid w:val="00CC2D85"/>
    <w:pPr>
      <w:spacing w:before="100" w:beforeAutospacing="1" w:after="100" w:afterAutospacing="1"/>
    </w:pPr>
    <w:rPr>
      <w:rFonts w:ascii="Times New Roman" w:eastAsia="Times New Roman" w:hAnsi="Times New Roman" w:cs="Times New Roman"/>
    </w:rPr>
  </w:style>
  <w:style w:type="table" w:customStyle="1" w:styleId="TableGrid11">
    <w:name w:val="Table Grid11"/>
    <w:basedOn w:val="TableNormal"/>
    <w:uiPriority w:val="39"/>
    <w:rsid w:val="003E0FEF"/>
    <w:rPr>
      <w:rFonts w:ascii="Candara" w:eastAsia="Candara" w:hAnsi="Candar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033"/>
  </w:style>
  <w:style w:type="character" w:customStyle="1" w:styleId="searchhighlight">
    <w:name w:val="searchhighlight"/>
    <w:basedOn w:val="DefaultParagraphFont"/>
    <w:rsid w:val="001C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228">
      <w:bodyDiv w:val="1"/>
      <w:marLeft w:val="0"/>
      <w:marRight w:val="0"/>
      <w:marTop w:val="0"/>
      <w:marBottom w:val="0"/>
      <w:divBdr>
        <w:top w:val="none" w:sz="0" w:space="0" w:color="auto"/>
        <w:left w:val="none" w:sz="0" w:space="0" w:color="auto"/>
        <w:bottom w:val="none" w:sz="0" w:space="0" w:color="auto"/>
        <w:right w:val="none" w:sz="0" w:space="0" w:color="auto"/>
      </w:divBdr>
      <w:divsChild>
        <w:div w:id="2091925705">
          <w:marLeft w:val="1800"/>
          <w:marRight w:val="0"/>
          <w:marTop w:val="96"/>
          <w:marBottom w:val="0"/>
          <w:divBdr>
            <w:top w:val="none" w:sz="0" w:space="0" w:color="auto"/>
            <w:left w:val="none" w:sz="0" w:space="0" w:color="auto"/>
            <w:bottom w:val="none" w:sz="0" w:space="0" w:color="auto"/>
            <w:right w:val="none" w:sz="0" w:space="0" w:color="auto"/>
          </w:divBdr>
        </w:div>
      </w:divsChild>
    </w:div>
    <w:div w:id="139689155">
      <w:bodyDiv w:val="1"/>
      <w:marLeft w:val="0"/>
      <w:marRight w:val="0"/>
      <w:marTop w:val="0"/>
      <w:marBottom w:val="0"/>
      <w:divBdr>
        <w:top w:val="none" w:sz="0" w:space="0" w:color="auto"/>
        <w:left w:val="none" w:sz="0" w:space="0" w:color="auto"/>
        <w:bottom w:val="none" w:sz="0" w:space="0" w:color="auto"/>
        <w:right w:val="none" w:sz="0" w:space="0" w:color="auto"/>
      </w:divBdr>
    </w:div>
    <w:div w:id="467667711">
      <w:bodyDiv w:val="1"/>
      <w:marLeft w:val="0"/>
      <w:marRight w:val="0"/>
      <w:marTop w:val="0"/>
      <w:marBottom w:val="0"/>
      <w:divBdr>
        <w:top w:val="none" w:sz="0" w:space="0" w:color="auto"/>
        <w:left w:val="none" w:sz="0" w:space="0" w:color="auto"/>
        <w:bottom w:val="none" w:sz="0" w:space="0" w:color="auto"/>
        <w:right w:val="none" w:sz="0" w:space="0" w:color="auto"/>
      </w:divBdr>
    </w:div>
    <w:div w:id="697976003">
      <w:bodyDiv w:val="1"/>
      <w:marLeft w:val="0"/>
      <w:marRight w:val="0"/>
      <w:marTop w:val="0"/>
      <w:marBottom w:val="0"/>
      <w:divBdr>
        <w:top w:val="none" w:sz="0" w:space="0" w:color="auto"/>
        <w:left w:val="none" w:sz="0" w:space="0" w:color="auto"/>
        <w:bottom w:val="none" w:sz="0" w:space="0" w:color="auto"/>
        <w:right w:val="none" w:sz="0" w:space="0" w:color="auto"/>
      </w:divBdr>
      <w:divsChild>
        <w:div w:id="197283604">
          <w:marLeft w:val="274"/>
          <w:marRight w:val="0"/>
          <w:marTop w:val="0"/>
          <w:marBottom w:val="0"/>
          <w:divBdr>
            <w:top w:val="none" w:sz="0" w:space="0" w:color="auto"/>
            <w:left w:val="none" w:sz="0" w:space="0" w:color="auto"/>
            <w:bottom w:val="none" w:sz="0" w:space="0" w:color="auto"/>
            <w:right w:val="none" w:sz="0" w:space="0" w:color="auto"/>
          </w:divBdr>
        </w:div>
        <w:div w:id="962231732">
          <w:marLeft w:val="274"/>
          <w:marRight w:val="0"/>
          <w:marTop w:val="0"/>
          <w:marBottom w:val="0"/>
          <w:divBdr>
            <w:top w:val="none" w:sz="0" w:space="0" w:color="auto"/>
            <w:left w:val="none" w:sz="0" w:space="0" w:color="auto"/>
            <w:bottom w:val="none" w:sz="0" w:space="0" w:color="auto"/>
            <w:right w:val="none" w:sz="0" w:space="0" w:color="auto"/>
          </w:divBdr>
        </w:div>
        <w:div w:id="1582984083">
          <w:marLeft w:val="274"/>
          <w:marRight w:val="0"/>
          <w:marTop w:val="0"/>
          <w:marBottom w:val="0"/>
          <w:divBdr>
            <w:top w:val="none" w:sz="0" w:space="0" w:color="auto"/>
            <w:left w:val="none" w:sz="0" w:space="0" w:color="auto"/>
            <w:bottom w:val="none" w:sz="0" w:space="0" w:color="auto"/>
            <w:right w:val="none" w:sz="0" w:space="0" w:color="auto"/>
          </w:divBdr>
        </w:div>
        <w:div w:id="1711104979">
          <w:marLeft w:val="274"/>
          <w:marRight w:val="0"/>
          <w:marTop w:val="0"/>
          <w:marBottom w:val="0"/>
          <w:divBdr>
            <w:top w:val="none" w:sz="0" w:space="0" w:color="auto"/>
            <w:left w:val="none" w:sz="0" w:space="0" w:color="auto"/>
            <w:bottom w:val="none" w:sz="0" w:space="0" w:color="auto"/>
            <w:right w:val="none" w:sz="0" w:space="0" w:color="auto"/>
          </w:divBdr>
        </w:div>
      </w:divsChild>
    </w:div>
    <w:div w:id="732968610">
      <w:bodyDiv w:val="1"/>
      <w:marLeft w:val="0"/>
      <w:marRight w:val="0"/>
      <w:marTop w:val="0"/>
      <w:marBottom w:val="0"/>
      <w:divBdr>
        <w:top w:val="none" w:sz="0" w:space="0" w:color="auto"/>
        <w:left w:val="none" w:sz="0" w:space="0" w:color="auto"/>
        <w:bottom w:val="none" w:sz="0" w:space="0" w:color="auto"/>
        <w:right w:val="none" w:sz="0" w:space="0" w:color="auto"/>
      </w:divBdr>
    </w:div>
    <w:div w:id="911503518">
      <w:bodyDiv w:val="1"/>
      <w:marLeft w:val="0"/>
      <w:marRight w:val="0"/>
      <w:marTop w:val="0"/>
      <w:marBottom w:val="0"/>
      <w:divBdr>
        <w:top w:val="none" w:sz="0" w:space="0" w:color="auto"/>
        <w:left w:val="none" w:sz="0" w:space="0" w:color="auto"/>
        <w:bottom w:val="none" w:sz="0" w:space="0" w:color="auto"/>
        <w:right w:val="none" w:sz="0" w:space="0" w:color="auto"/>
      </w:divBdr>
    </w:div>
    <w:div w:id="1074936670">
      <w:bodyDiv w:val="1"/>
      <w:marLeft w:val="0"/>
      <w:marRight w:val="0"/>
      <w:marTop w:val="0"/>
      <w:marBottom w:val="0"/>
      <w:divBdr>
        <w:top w:val="none" w:sz="0" w:space="0" w:color="auto"/>
        <w:left w:val="none" w:sz="0" w:space="0" w:color="auto"/>
        <w:bottom w:val="none" w:sz="0" w:space="0" w:color="auto"/>
        <w:right w:val="none" w:sz="0" w:space="0" w:color="auto"/>
      </w:divBdr>
    </w:div>
    <w:div w:id="1113014430">
      <w:bodyDiv w:val="1"/>
      <w:marLeft w:val="0"/>
      <w:marRight w:val="0"/>
      <w:marTop w:val="0"/>
      <w:marBottom w:val="0"/>
      <w:divBdr>
        <w:top w:val="none" w:sz="0" w:space="0" w:color="auto"/>
        <w:left w:val="none" w:sz="0" w:space="0" w:color="auto"/>
        <w:bottom w:val="none" w:sz="0" w:space="0" w:color="auto"/>
        <w:right w:val="none" w:sz="0" w:space="0" w:color="auto"/>
      </w:divBdr>
    </w:div>
    <w:div w:id="1155803093">
      <w:bodyDiv w:val="1"/>
      <w:marLeft w:val="0"/>
      <w:marRight w:val="0"/>
      <w:marTop w:val="0"/>
      <w:marBottom w:val="0"/>
      <w:divBdr>
        <w:top w:val="none" w:sz="0" w:space="0" w:color="auto"/>
        <w:left w:val="none" w:sz="0" w:space="0" w:color="auto"/>
        <w:bottom w:val="none" w:sz="0" w:space="0" w:color="auto"/>
        <w:right w:val="none" w:sz="0" w:space="0" w:color="auto"/>
      </w:divBdr>
      <w:divsChild>
        <w:div w:id="1957909104">
          <w:marLeft w:val="1166"/>
          <w:marRight w:val="0"/>
          <w:marTop w:val="134"/>
          <w:marBottom w:val="0"/>
          <w:divBdr>
            <w:top w:val="none" w:sz="0" w:space="0" w:color="auto"/>
            <w:left w:val="none" w:sz="0" w:space="0" w:color="auto"/>
            <w:bottom w:val="none" w:sz="0" w:space="0" w:color="auto"/>
            <w:right w:val="none" w:sz="0" w:space="0" w:color="auto"/>
          </w:divBdr>
        </w:div>
      </w:divsChild>
    </w:div>
    <w:div w:id="1181120856">
      <w:bodyDiv w:val="1"/>
      <w:marLeft w:val="0"/>
      <w:marRight w:val="0"/>
      <w:marTop w:val="0"/>
      <w:marBottom w:val="0"/>
      <w:divBdr>
        <w:top w:val="none" w:sz="0" w:space="0" w:color="auto"/>
        <w:left w:val="none" w:sz="0" w:space="0" w:color="auto"/>
        <w:bottom w:val="none" w:sz="0" w:space="0" w:color="auto"/>
        <w:right w:val="none" w:sz="0" w:space="0" w:color="auto"/>
      </w:divBdr>
      <w:divsChild>
        <w:div w:id="1142963943">
          <w:marLeft w:val="360"/>
          <w:marRight w:val="0"/>
          <w:marTop w:val="200"/>
          <w:marBottom w:val="0"/>
          <w:divBdr>
            <w:top w:val="none" w:sz="0" w:space="0" w:color="auto"/>
            <w:left w:val="none" w:sz="0" w:space="0" w:color="auto"/>
            <w:bottom w:val="none" w:sz="0" w:space="0" w:color="auto"/>
            <w:right w:val="none" w:sz="0" w:space="0" w:color="auto"/>
          </w:divBdr>
        </w:div>
      </w:divsChild>
    </w:div>
    <w:div w:id="1269312786">
      <w:bodyDiv w:val="1"/>
      <w:marLeft w:val="0"/>
      <w:marRight w:val="0"/>
      <w:marTop w:val="0"/>
      <w:marBottom w:val="0"/>
      <w:divBdr>
        <w:top w:val="none" w:sz="0" w:space="0" w:color="auto"/>
        <w:left w:val="none" w:sz="0" w:space="0" w:color="auto"/>
        <w:bottom w:val="none" w:sz="0" w:space="0" w:color="auto"/>
        <w:right w:val="none" w:sz="0" w:space="0" w:color="auto"/>
      </w:divBdr>
      <w:divsChild>
        <w:div w:id="170687983">
          <w:marLeft w:val="0"/>
          <w:marRight w:val="0"/>
          <w:marTop w:val="0"/>
          <w:marBottom w:val="0"/>
          <w:divBdr>
            <w:top w:val="none" w:sz="0" w:space="0" w:color="auto"/>
            <w:left w:val="none" w:sz="0" w:space="0" w:color="auto"/>
            <w:bottom w:val="none" w:sz="0" w:space="0" w:color="auto"/>
            <w:right w:val="none" w:sz="0" w:space="0" w:color="auto"/>
          </w:divBdr>
        </w:div>
        <w:div w:id="291793129">
          <w:marLeft w:val="0"/>
          <w:marRight w:val="0"/>
          <w:marTop w:val="0"/>
          <w:marBottom w:val="0"/>
          <w:divBdr>
            <w:top w:val="none" w:sz="0" w:space="0" w:color="auto"/>
            <w:left w:val="none" w:sz="0" w:space="0" w:color="auto"/>
            <w:bottom w:val="none" w:sz="0" w:space="0" w:color="auto"/>
            <w:right w:val="none" w:sz="0" w:space="0" w:color="auto"/>
          </w:divBdr>
          <w:divsChild>
            <w:div w:id="340204983">
              <w:marLeft w:val="0"/>
              <w:marRight w:val="0"/>
              <w:marTop w:val="0"/>
              <w:marBottom w:val="0"/>
              <w:divBdr>
                <w:top w:val="none" w:sz="0" w:space="0" w:color="auto"/>
                <w:left w:val="none" w:sz="0" w:space="0" w:color="auto"/>
                <w:bottom w:val="none" w:sz="0" w:space="0" w:color="auto"/>
                <w:right w:val="none" w:sz="0" w:space="0" w:color="auto"/>
              </w:divBdr>
            </w:div>
          </w:divsChild>
        </w:div>
        <w:div w:id="421612317">
          <w:marLeft w:val="0"/>
          <w:marRight w:val="0"/>
          <w:marTop w:val="0"/>
          <w:marBottom w:val="0"/>
          <w:divBdr>
            <w:top w:val="none" w:sz="0" w:space="0" w:color="auto"/>
            <w:left w:val="none" w:sz="0" w:space="0" w:color="auto"/>
            <w:bottom w:val="none" w:sz="0" w:space="0" w:color="auto"/>
            <w:right w:val="none" w:sz="0" w:space="0" w:color="auto"/>
          </w:divBdr>
        </w:div>
        <w:div w:id="662513828">
          <w:marLeft w:val="0"/>
          <w:marRight w:val="0"/>
          <w:marTop w:val="0"/>
          <w:marBottom w:val="0"/>
          <w:divBdr>
            <w:top w:val="none" w:sz="0" w:space="0" w:color="auto"/>
            <w:left w:val="none" w:sz="0" w:space="0" w:color="auto"/>
            <w:bottom w:val="none" w:sz="0" w:space="0" w:color="auto"/>
            <w:right w:val="none" w:sz="0" w:space="0" w:color="auto"/>
          </w:divBdr>
        </w:div>
        <w:div w:id="773552675">
          <w:marLeft w:val="0"/>
          <w:marRight w:val="0"/>
          <w:marTop w:val="0"/>
          <w:marBottom w:val="0"/>
          <w:divBdr>
            <w:top w:val="none" w:sz="0" w:space="0" w:color="auto"/>
            <w:left w:val="none" w:sz="0" w:space="0" w:color="auto"/>
            <w:bottom w:val="none" w:sz="0" w:space="0" w:color="auto"/>
            <w:right w:val="none" w:sz="0" w:space="0" w:color="auto"/>
          </w:divBdr>
        </w:div>
        <w:div w:id="986979900">
          <w:marLeft w:val="0"/>
          <w:marRight w:val="0"/>
          <w:marTop w:val="0"/>
          <w:marBottom w:val="0"/>
          <w:divBdr>
            <w:top w:val="none" w:sz="0" w:space="0" w:color="auto"/>
            <w:left w:val="none" w:sz="0" w:space="0" w:color="auto"/>
            <w:bottom w:val="none" w:sz="0" w:space="0" w:color="auto"/>
            <w:right w:val="none" w:sz="0" w:space="0" w:color="auto"/>
          </w:divBdr>
        </w:div>
        <w:div w:id="1083331276">
          <w:marLeft w:val="0"/>
          <w:marRight w:val="0"/>
          <w:marTop w:val="0"/>
          <w:marBottom w:val="0"/>
          <w:divBdr>
            <w:top w:val="none" w:sz="0" w:space="0" w:color="auto"/>
            <w:left w:val="none" w:sz="0" w:space="0" w:color="auto"/>
            <w:bottom w:val="none" w:sz="0" w:space="0" w:color="auto"/>
            <w:right w:val="none" w:sz="0" w:space="0" w:color="auto"/>
          </w:divBdr>
        </w:div>
        <w:div w:id="1138231228">
          <w:marLeft w:val="0"/>
          <w:marRight w:val="0"/>
          <w:marTop w:val="0"/>
          <w:marBottom w:val="0"/>
          <w:divBdr>
            <w:top w:val="none" w:sz="0" w:space="0" w:color="auto"/>
            <w:left w:val="none" w:sz="0" w:space="0" w:color="auto"/>
            <w:bottom w:val="none" w:sz="0" w:space="0" w:color="auto"/>
            <w:right w:val="none" w:sz="0" w:space="0" w:color="auto"/>
          </w:divBdr>
        </w:div>
        <w:div w:id="1321927012">
          <w:marLeft w:val="0"/>
          <w:marRight w:val="0"/>
          <w:marTop w:val="0"/>
          <w:marBottom w:val="0"/>
          <w:divBdr>
            <w:top w:val="none" w:sz="0" w:space="0" w:color="auto"/>
            <w:left w:val="none" w:sz="0" w:space="0" w:color="auto"/>
            <w:bottom w:val="none" w:sz="0" w:space="0" w:color="auto"/>
            <w:right w:val="none" w:sz="0" w:space="0" w:color="auto"/>
          </w:divBdr>
        </w:div>
        <w:div w:id="1544950919">
          <w:marLeft w:val="0"/>
          <w:marRight w:val="0"/>
          <w:marTop w:val="0"/>
          <w:marBottom w:val="0"/>
          <w:divBdr>
            <w:top w:val="none" w:sz="0" w:space="0" w:color="auto"/>
            <w:left w:val="none" w:sz="0" w:space="0" w:color="auto"/>
            <w:bottom w:val="none" w:sz="0" w:space="0" w:color="auto"/>
            <w:right w:val="none" w:sz="0" w:space="0" w:color="auto"/>
          </w:divBdr>
        </w:div>
        <w:div w:id="1704818457">
          <w:marLeft w:val="0"/>
          <w:marRight w:val="0"/>
          <w:marTop w:val="0"/>
          <w:marBottom w:val="0"/>
          <w:divBdr>
            <w:top w:val="none" w:sz="0" w:space="0" w:color="auto"/>
            <w:left w:val="none" w:sz="0" w:space="0" w:color="auto"/>
            <w:bottom w:val="none" w:sz="0" w:space="0" w:color="auto"/>
            <w:right w:val="none" w:sz="0" w:space="0" w:color="auto"/>
          </w:divBdr>
        </w:div>
        <w:div w:id="1870220489">
          <w:marLeft w:val="0"/>
          <w:marRight w:val="0"/>
          <w:marTop w:val="0"/>
          <w:marBottom w:val="0"/>
          <w:divBdr>
            <w:top w:val="none" w:sz="0" w:space="0" w:color="auto"/>
            <w:left w:val="none" w:sz="0" w:space="0" w:color="auto"/>
            <w:bottom w:val="none" w:sz="0" w:space="0" w:color="auto"/>
            <w:right w:val="none" w:sz="0" w:space="0" w:color="auto"/>
          </w:divBdr>
        </w:div>
        <w:div w:id="1880168768">
          <w:marLeft w:val="0"/>
          <w:marRight w:val="0"/>
          <w:marTop w:val="0"/>
          <w:marBottom w:val="0"/>
          <w:divBdr>
            <w:top w:val="none" w:sz="0" w:space="0" w:color="auto"/>
            <w:left w:val="none" w:sz="0" w:space="0" w:color="auto"/>
            <w:bottom w:val="none" w:sz="0" w:space="0" w:color="auto"/>
            <w:right w:val="none" w:sz="0" w:space="0" w:color="auto"/>
          </w:divBdr>
        </w:div>
        <w:div w:id="2114399907">
          <w:marLeft w:val="0"/>
          <w:marRight w:val="0"/>
          <w:marTop w:val="0"/>
          <w:marBottom w:val="0"/>
          <w:divBdr>
            <w:top w:val="none" w:sz="0" w:space="0" w:color="auto"/>
            <w:left w:val="none" w:sz="0" w:space="0" w:color="auto"/>
            <w:bottom w:val="none" w:sz="0" w:space="0" w:color="auto"/>
            <w:right w:val="none" w:sz="0" w:space="0" w:color="auto"/>
          </w:divBdr>
        </w:div>
      </w:divsChild>
    </w:div>
    <w:div w:id="1287657076">
      <w:bodyDiv w:val="1"/>
      <w:marLeft w:val="0"/>
      <w:marRight w:val="0"/>
      <w:marTop w:val="0"/>
      <w:marBottom w:val="0"/>
      <w:divBdr>
        <w:top w:val="none" w:sz="0" w:space="0" w:color="auto"/>
        <w:left w:val="none" w:sz="0" w:space="0" w:color="auto"/>
        <w:bottom w:val="none" w:sz="0" w:space="0" w:color="auto"/>
        <w:right w:val="none" w:sz="0" w:space="0" w:color="auto"/>
      </w:divBdr>
      <w:divsChild>
        <w:div w:id="52319043">
          <w:marLeft w:val="0"/>
          <w:marRight w:val="0"/>
          <w:marTop w:val="0"/>
          <w:marBottom w:val="0"/>
          <w:divBdr>
            <w:top w:val="none" w:sz="0" w:space="0" w:color="auto"/>
            <w:left w:val="none" w:sz="0" w:space="0" w:color="auto"/>
            <w:bottom w:val="none" w:sz="0" w:space="0" w:color="auto"/>
            <w:right w:val="none" w:sz="0" w:space="0" w:color="auto"/>
          </w:divBdr>
        </w:div>
      </w:divsChild>
    </w:div>
    <w:div w:id="1338580068">
      <w:bodyDiv w:val="1"/>
      <w:marLeft w:val="0"/>
      <w:marRight w:val="0"/>
      <w:marTop w:val="0"/>
      <w:marBottom w:val="0"/>
      <w:divBdr>
        <w:top w:val="none" w:sz="0" w:space="0" w:color="auto"/>
        <w:left w:val="none" w:sz="0" w:space="0" w:color="auto"/>
        <w:bottom w:val="none" w:sz="0" w:space="0" w:color="auto"/>
        <w:right w:val="none" w:sz="0" w:space="0" w:color="auto"/>
      </w:divBdr>
      <w:divsChild>
        <w:div w:id="1691450135">
          <w:marLeft w:val="0"/>
          <w:marRight w:val="0"/>
          <w:marTop w:val="0"/>
          <w:marBottom w:val="0"/>
          <w:divBdr>
            <w:top w:val="none" w:sz="0" w:space="0" w:color="auto"/>
            <w:left w:val="none" w:sz="0" w:space="0" w:color="auto"/>
            <w:bottom w:val="none" w:sz="0" w:space="0" w:color="auto"/>
            <w:right w:val="none" w:sz="0" w:space="0" w:color="auto"/>
          </w:divBdr>
        </w:div>
      </w:divsChild>
    </w:div>
    <w:div w:id="1476683004">
      <w:bodyDiv w:val="1"/>
      <w:marLeft w:val="0"/>
      <w:marRight w:val="0"/>
      <w:marTop w:val="0"/>
      <w:marBottom w:val="0"/>
      <w:divBdr>
        <w:top w:val="none" w:sz="0" w:space="0" w:color="auto"/>
        <w:left w:val="none" w:sz="0" w:space="0" w:color="auto"/>
        <w:bottom w:val="none" w:sz="0" w:space="0" w:color="auto"/>
        <w:right w:val="none" w:sz="0" w:space="0" w:color="auto"/>
      </w:divBdr>
    </w:div>
    <w:div w:id="1635528425">
      <w:bodyDiv w:val="1"/>
      <w:marLeft w:val="0"/>
      <w:marRight w:val="0"/>
      <w:marTop w:val="0"/>
      <w:marBottom w:val="0"/>
      <w:divBdr>
        <w:top w:val="none" w:sz="0" w:space="0" w:color="auto"/>
        <w:left w:val="none" w:sz="0" w:space="0" w:color="auto"/>
        <w:bottom w:val="none" w:sz="0" w:space="0" w:color="auto"/>
        <w:right w:val="none" w:sz="0" w:space="0" w:color="auto"/>
      </w:divBdr>
    </w:div>
    <w:div w:id="1635670636">
      <w:bodyDiv w:val="1"/>
      <w:marLeft w:val="0"/>
      <w:marRight w:val="0"/>
      <w:marTop w:val="0"/>
      <w:marBottom w:val="0"/>
      <w:divBdr>
        <w:top w:val="none" w:sz="0" w:space="0" w:color="auto"/>
        <w:left w:val="none" w:sz="0" w:space="0" w:color="auto"/>
        <w:bottom w:val="none" w:sz="0" w:space="0" w:color="auto"/>
        <w:right w:val="none" w:sz="0" w:space="0" w:color="auto"/>
      </w:divBdr>
    </w:div>
    <w:div w:id="1687973845">
      <w:bodyDiv w:val="1"/>
      <w:marLeft w:val="0"/>
      <w:marRight w:val="0"/>
      <w:marTop w:val="0"/>
      <w:marBottom w:val="0"/>
      <w:divBdr>
        <w:top w:val="none" w:sz="0" w:space="0" w:color="auto"/>
        <w:left w:val="none" w:sz="0" w:space="0" w:color="auto"/>
        <w:bottom w:val="none" w:sz="0" w:space="0" w:color="auto"/>
        <w:right w:val="none" w:sz="0" w:space="0" w:color="auto"/>
      </w:divBdr>
    </w:div>
    <w:div w:id="1690447514">
      <w:bodyDiv w:val="1"/>
      <w:marLeft w:val="0"/>
      <w:marRight w:val="0"/>
      <w:marTop w:val="0"/>
      <w:marBottom w:val="0"/>
      <w:divBdr>
        <w:top w:val="none" w:sz="0" w:space="0" w:color="auto"/>
        <w:left w:val="none" w:sz="0" w:space="0" w:color="auto"/>
        <w:bottom w:val="none" w:sz="0" w:space="0" w:color="auto"/>
        <w:right w:val="none" w:sz="0" w:space="0" w:color="auto"/>
      </w:divBdr>
    </w:div>
    <w:div w:id="1725523480">
      <w:bodyDiv w:val="1"/>
      <w:marLeft w:val="0"/>
      <w:marRight w:val="0"/>
      <w:marTop w:val="0"/>
      <w:marBottom w:val="0"/>
      <w:divBdr>
        <w:top w:val="none" w:sz="0" w:space="0" w:color="auto"/>
        <w:left w:val="none" w:sz="0" w:space="0" w:color="auto"/>
        <w:bottom w:val="none" w:sz="0" w:space="0" w:color="auto"/>
        <w:right w:val="none" w:sz="0" w:space="0" w:color="auto"/>
      </w:divBdr>
    </w:div>
    <w:div w:id="1751999756">
      <w:bodyDiv w:val="1"/>
      <w:marLeft w:val="0"/>
      <w:marRight w:val="0"/>
      <w:marTop w:val="0"/>
      <w:marBottom w:val="0"/>
      <w:divBdr>
        <w:top w:val="none" w:sz="0" w:space="0" w:color="auto"/>
        <w:left w:val="none" w:sz="0" w:space="0" w:color="auto"/>
        <w:bottom w:val="none" w:sz="0" w:space="0" w:color="auto"/>
        <w:right w:val="none" w:sz="0" w:space="0" w:color="auto"/>
      </w:divBdr>
      <w:divsChild>
        <w:div w:id="233512818">
          <w:marLeft w:val="360"/>
          <w:marRight w:val="0"/>
          <w:marTop w:val="0"/>
          <w:marBottom w:val="240"/>
          <w:divBdr>
            <w:top w:val="none" w:sz="0" w:space="0" w:color="auto"/>
            <w:left w:val="none" w:sz="0" w:space="0" w:color="auto"/>
            <w:bottom w:val="none" w:sz="0" w:space="0" w:color="auto"/>
            <w:right w:val="none" w:sz="0" w:space="0" w:color="auto"/>
          </w:divBdr>
        </w:div>
      </w:divsChild>
    </w:div>
    <w:div w:id="1759405247">
      <w:bodyDiv w:val="1"/>
      <w:marLeft w:val="0"/>
      <w:marRight w:val="0"/>
      <w:marTop w:val="0"/>
      <w:marBottom w:val="0"/>
      <w:divBdr>
        <w:top w:val="none" w:sz="0" w:space="0" w:color="auto"/>
        <w:left w:val="none" w:sz="0" w:space="0" w:color="auto"/>
        <w:bottom w:val="none" w:sz="0" w:space="0" w:color="auto"/>
        <w:right w:val="none" w:sz="0" w:space="0" w:color="auto"/>
      </w:divBdr>
      <w:divsChild>
        <w:div w:id="308436119">
          <w:marLeft w:val="360"/>
          <w:marRight w:val="0"/>
          <w:marTop w:val="0"/>
          <w:marBottom w:val="120"/>
          <w:divBdr>
            <w:top w:val="none" w:sz="0" w:space="0" w:color="auto"/>
            <w:left w:val="none" w:sz="0" w:space="0" w:color="auto"/>
            <w:bottom w:val="none" w:sz="0" w:space="0" w:color="auto"/>
            <w:right w:val="none" w:sz="0" w:space="0" w:color="auto"/>
          </w:divBdr>
        </w:div>
        <w:div w:id="1922760990">
          <w:marLeft w:val="360"/>
          <w:marRight w:val="0"/>
          <w:marTop w:val="0"/>
          <w:marBottom w:val="120"/>
          <w:divBdr>
            <w:top w:val="none" w:sz="0" w:space="0" w:color="auto"/>
            <w:left w:val="none" w:sz="0" w:space="0" w:color="auto"/>
            <w:bottom w:val="none" w:sz="0" w:space="0" w:color="auto"/>
            <w:right w:val="none" w:sz="0" w:space="0" w:color="auto"/>
          </w:divBdr>
        </w:div>
      </w:divsChild>
    </w:div>
    <w:div w:id="1906068124">
      <w:bodyDiv w:val="1"/>
      <w:marLeft w:val="0"/>
      <w:marRight w:val="0"/>
      <w:marTop w:val="0"/>
      <w:marBottom w:val="0"/>
      <w:divBdr>
        <w:top w:val="none" w:sz="0" w:space="0" w:color="auto"/>
        <w:left w:val="none" w:sz="0" w:space="0" w:color="auto"/>
        <w:bottom w:val="none" w:sz="0" w:space="0" w:color="auto"/>
        <w:right w:val="none" w:sz="0" w:space="0" w:color="auto"/>
      </w:divBdr>
    </w:div>
    <w:div w:id="1946497146">
      <w:bodyDiv w:val="1"/>
      <w:marLeft w:val="0"/>
      <w:marRight w:val="0"/>
      <w:marTop w:val="0"/>
      <w:marBottom w:val="0"/>
      <w:divBdr>
        <w:top w:val="none" w:sz="0" w:space="0" w:color="auto"/>
        <w:left w:val="none" w:sz="0" w:space="0" w:color="auto"/>
        <w:bottom w:val="none" w:sz="0" w:space="0" w:color="auto"/>
        <w:right w:val="none" w:sz="0" w:space="0" w:color="auto"/>
      </w:divBdr>
    </w:div>
    <w:div w:id="1953710637">
      <w:bodyDiv w:val="1"/>
      <w:marLeft w:val="0"/>
      <w:marRight w:val="0"/>
      <w:marTop w:val="0"/>
      <w:marBottom w:val="0"/>
      <w:divBdr>
        <w:top w:val="none" w:sz="0" w:space="0" w:color="auto"/>
        <w:left w:val="none" w:sz="0" w:space="0" w:color="auto"/>
        <w:bottom w:val="none" w:sz="0" w:space="0" w:color="auto"/>
        <w:right w:val="none" w:sz="0" w:space="0" w:color="auto"/>
      </w:divBdr>
    </w:div>
    <w:div w:id="1957366487">
      <w:bodyDiv w:val="1"/>
      <w:marLeft w:val="0"/>
      <w:marRight w:val="0"/>
      <w:marTop w:val="0"/>
      <w:marBottom w:val="0"/>
      <w:divBdr>
        <w:top w:val="none" w:sz="0" w:space="0" w:color="auto"/>
        <w:left w:val="none" w:sz="0" w:space="0" w:color="auto"/>
        <w:bottom w:val="none" w:sz="0" w:space="0" w:color="auto"/>
        <w:right w:val="none" w:sz="0" w:space="0" w:color="auto"/>
      </w:divBdr>
      <w:divsChild>
        <w:div w:id="291835668">
          <w:marLeft w:val="360"/>
          <w:marRight w:val="0"/>
          <w:marTop w:val="100"/>
          <w:marBottom w:val="0"/>
          <w:divBdr>
            <w:top w:val="none" w:sz="0" w:space="0" w:color="auto"/>
            <w:left w:val="none" w:sz="0" w:space="0" w:color="auto"/>
            <w:bottom w:val="none" w:sz="0" w:space="0" w:color="auto"/>
            <w:right w:val="none" w:sz="0" w:space="0" w:color="auto"/>
          </w:divBdr>
        </w:div>
        <w:div w:id="927422779">
          <w:marLeft w:val="360"/>
          <w:marRight w:val="0"/>
          <w:marTop w:val="100"/>
          <w:marBottom w:val="0"/>
          <w:divBdr>
            <w:top w:val="none" w:sz="0" w:space="0" w:color="auto"/>
            <w:left w:val="none" w:sz="0" w:space="0" w:color="auto"/>
            <w:bottom w:val="none" w:sz="0" w:space="0" w:color="auto"/>
            <w:right w:val="none" w:sz="0" w:space="0" w:color="auto"/>
          </w:divBdr>
        </w:div>
        <w:div w:id="1832525224">
          <w:marLeft w:val="360"/>
          <w:marRight w:val="0"/>
          <w:marTop w:val="100"/>
          <w:marBottom w:val="0"/>
          <w:divBdr>
            <w:top w:val="none" w:sz="0" w:space="0" w:color="auto"/>
            <w:left w:val="none" w:sz="0" w:space="0" w:color="auto"/>
            <w:bottom w:val="none" w:sz="0" w:space="0" w:color="auto"/>
            <w:right w:val="none" w:sz="0" w:space="0" w:color="auto"/>
          </w:divBdr>
        </w:div>
      </w:divsChild>
    </w:div>
    <w:div w:id="1961960381">
      <w:bodyDiv w:val="1"/>
      <w:marLeft w:val="0"/>
      <w:marRight w:val="0"/>
      <w:marTop w:val="0"/>
      <w:marBottom w:val="0"/>
      <w:divBdr>
        <w:top w:val="none" w:sz="0" w:space="0" w:color="auto"/>
        <w:left w:val="none" w:sz="0" w:space="0" w:color="auto"/>
        <w:bottom w:val="none" w:sz="0" w:space="0" w:color="auto"/>
        <w:right w:val="none" w:sz="0" w:space="0" w:color="auto"/>
      </w:divBdr>
      <w:divsChild>
        <w:div w:id="50275046">
          <w:marLeft w:val="720"/>
          <w:marRight w:val="0"/>
          <w:marTop w:val="0"/>
          <w:marBottom w:val="0"/>
          <w:divBdr>
            <w:top w:val="none" w:sz="0" w:space="0" w:color="auto"/>
            <w:left w:val="none" w:sz="0" w:space="0" w:color="auto"/>
            <w:bottom w:val="none" w:sz="0" w:space="0" w:color="auto"/>
            <w:right w:val="none" w:sz="0" w:space="0" w:color="auto"/>
          </w:divBdr>
        </w:div>
        <w:div w:id="378363193">
          <w:marLeft w:val="720"/>
          <w:marRight w:val="0"/>
          <w:marTop w:val="0"/>
          <w:marBottom w:val="0"/>
          <w:divBdr>
            <w:top w:val="none" w:sz="0" w:space="0" w:color="auto"/>
            <w:left w:val="none" w:sz="0" w:space="0" w:color="auto"/>
            <w:bottom w:val="none" w:sz="0" w:space="0" w:color="auto"/>
            <w:right w:val="none" w:sz="0" w:space="0" w:color="auto"/>
          </w:divBdr>
        </w:div>
        <w:div w:id="1695691168">
          <w:marLeft w:val="720"/>
          <w:marRight w:val="0"/>
          <w:marTop w:val="0"/>
          <w:marBottom w:val="0"/>
          <w:divBdr>
            <w:top w:val="none" w:sz="0" w:space="0" w:color="auto"/>
            <w:left w:val="none" w:sz="0" w:space="0" w:color="auto"/>
            <w:bottom w:val="none" w:sz="0" w:space="0" w:color="auto"/>
            <w:right w:val="none" w:sz="0" w:space="0" w:color="auto"/>
          </w:divBdr>
        </w:div>
      </w:divsChild>
    </w:div>
    <w:div w:id="1981953477">
      <w:bodyDiv w:val="1"/>
      <w:marLeft w:val="0"/>
      <w:marRight w:val="0"/>
      <w:marTop w:val="0"/>
      <w:marBottom w:val="0"/>
      <w:divBdr>
        <w:top w:val="none" w:sz="0" w:space="0" w:color="auto"/>
        <w:left w:val="none" w:sz="0" w:space="0" w:color="auto"/>
        <w:bottom w:val="none" w:sz="0" w:space="0" w:color="auto"/>
        <w:right w:val="none" w:sz="0" w:space="0" w:color="auto"/>
      </w:divBdr>
    </w:div>
    <w:div w:id="2010908575">
      <w:bodyDiv w:val="1"/>
      <w:marLeft w:val="0"/>
      <w:marRight w:val="0"/>
      <w:marTop w:val="0"/>
      <w:marBottom w:val="0"/>
      <w:divBdr>
        <w:top w:val="none" w:sz="0" w:space="0" w:color="auto"/>
        <w:left w:val="none" w:sz="0" w:space="0" w:color="auto"/>
        <w:bottom w:val="none" w:sz="0" w:space="0" w:color="auto"/>
        <w:right w:val="none" w:sz="0" w:space="0" w:color="auto"/>
      </w:divBdr>
    </w:div>
    <w:div w:id="2024281901">
      <w:bodyDiv w:val="1"/>
      <w:marLeft w:val="0"/>
      <w:marRight w:val="0"/>
      <w:marTop w:val="0"/>
      <w:marBottom w:val="0"/>
      <w:divBdr>
        <w:top w:val="none" w:sz="0" w:space="0" w:color="auto"/>
        <w:left w:val="none" w:sz="0" w:space="0" w:color="auto"/>
        <w:bottom w:val="none" w:sz="0" w:space="0" w:color="auto"/>
        <w:right w:val="none" w:sz="0" w:space="0" w:color="auto"/>
      </w:divBdr>
    </w:div>
    <w:div w:id="2123381837">
      <w:bodyDiv w:val="1"/>
      <w:marLeft w:val="0"/>
      <w:marRight w:val="0"/>
      <w:marTop w:val="0"/>
      <w:marBottom w:val="0"/>
      <w:divBdr>
        <w:top w:val="none" w:sz="0" w:space="0" w:color="auto"/>
        <w:left w:val="none" w:sz="0" w:space="0" w:color="auto"/>
        <w:bottom w:val="none" w:sz="0" w:space="0" w:color="auto"/>
        <w:right w:val="none" w:sz="0" w:space="0" w:color="auto"/>
      </w:divBdr>
    </w:div>
    <w:div w:id="2130774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rontiersin.org/articles/10.3389/fpubh.2022.888368/full" TargetMode="External"/><Relationship Id="rId26" Type="http://schemas.openxmlformats.org/officeDocument/2006/relationships/hyperlink" Target="https://dashconnect.org/" TargetMode="External"/><Relationship Id="rId39" Type="http://schemas.openxmlformats.org/officeDocument/2006/relationships/hyperlink" Target="https://www.ers.usda.gov/newsroom/trending-topics/data-training-webinars/" TargetMode="External"/><Relationship Id="rId21" Type="http://schemas.openxmlformats.org/officeDocument/2006/relationships/hyperlink" Target="https://www.cdc.gov/nccdphp/dnpao/data-trends-maps/help/npao_dtm/using.html" TargetMode="External"/><Relationship Id="rId34" Type="http://schemas.openxmlformats.org/officeDocument/2006/relationships/hyperlink" Target="https://www.ers.usda.gov/data-products/food-security-in-the-united-states/" TargetMode="External"/><Relationship Id="rId42" Type="http://schemas.openxmlformats.org/officeDocument/2006/relationships/hyperlink" Target="https://www.first5la.org/" TargetMode="External"/><Relationship Id="rId47" Type="http://schemas.openxmlformats.org/officeDocument/2006/relationships/hyperlink" Target="https://earlychildhoodobesity.co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fpubs.com/index.php/jheal/article/view/24" TargetMode="External"/><Relationship Id="rId29" Type="http://schemas.openxmlformats.org/officeDocument/2006/relationships/hyperlink" Target="https://fdc.nal.usda.gov/" TargetMode="External"/><Relationship Id="rId11" Type="http://schemas.openxmlformats.org/officeDocument/2006/relationships/hyperlink" Target="https://zoom.us/rec/share/OYtyMf2Mx9gWvSxsc79PGq7Rmp4nh8I-9t0OnWw3XhOJD7ZSFOAZ10KXKuj-VMAv.RVIm9gHzjhzPeLy5?startTime=1655316196000" TargetMode="External"/><Relationship Id="rId24" Type="http://schemas.openxmlformats.org/officeDocument/2006/relationships/hyperlink" Target="https://databrowser.researchallofus.org/" TargetMode="External"/><Relationship Id="rId32" Type="http://schemas.openxmlformats.org/officeDocument/2006/relationships/hyperlink" Target="https://nap.nationalacademies.org/catalog/25657/a-consumer-food-data-system-for-2030-and-beyond" TargetMode="External"/><Relationship Id="rId37" Type="http://schemas.openxmlformats.org/officeDocument/2006/relationships/hyperlink" Target="https://www.aplu.org/members/commissions/food-environment-and-renewable-resources/board-on-agriculture-assembly/cooperative-extension-section/ecop-members/ecop-documents/2021%20EquityHealth%20Full.pdf" TargetMode="External"/><Relationship Id="rId40" Type="http://schemas.openxmlformats.org/officeDocument/2006/relationships/hyperlink" Target="https://www.ncbi.nlm.nih.gov/pmc/articles/PMC8511973/" TargetMode="External"/><Relationship Id="rId45" Type="http://schemas.openxmlformats.org/officeDocument/2006/relationships/hyperlink" Target="https://data.worldobesity.org" TargetMode="External"/><Relationship Id="rId5" Type="http://schemas.openxmlformats.org/officeDocument/2006/relationships/numbering" Target="numbering.xml"/><Relationship Id="rId15" Type="http://schemas.openxmlformats.org/officeDocument/2006/relationships/hyperlink" Target="https://academic.oup.com/tbm/advance-article/doi/10.1093/tbm/ibac023/6602078?login=false" TargetMode="External"/><Relationship Id="rId23" Type="http://schemas.openxmlformats.org/officeDocument/2006/relationships/hyperlink" Target="http://researchallofus.org/" TargetMode="External"/><Relationship Id="rId28" Type="http://schemas.openxmlformats.org/officeDocument/2006/relationships/hyperlink" Target="https://academyhealth.org/about/programs/health-data-action" TargetMode="External"/><Relationship Id="rId36" Type="http://schemas.openxmlformats.org/officeDocument/2006/relationships/hyperlink" Target="http://www.ers.usda.gov/foodap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ithub.com/carriedaymont/growthcleanr" TargetMode="External"/><Relationship Id="rId31" Type="http://schemas.openxmlformats.org/officeDocument/2006/relationships/hyperlink" Target="https://scinet.usda.gov/" TargetMode="External"/><Relationship Id="rId44" Type="http://schemas.openxmlformats.org/officeDocument/2006/relationships/hyperlink" Target="https://www.worldobesity.org/resources/resource-library/world-obesity-atlas-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or.org/nccor-tools/create-thriving-activity-friendly-communities/" TargetMode="External"/><Relationship Id="rId22" Type="http://schemas.openxmlformats.org/officeDocument/2006/relationships/hyperlink" Target="https://allofus.nih.gov/" TargetMode="External"/><Relationship Id="rId27" Type="http://schemas.openxmlformats.org/officeDocument/2006/relationships/hyperlink" Target="https://phnci.org/cross-sector/all-in" TargetMode="External"/><Relationship Id="rId30" Type="http://schemas.openxmlformats.org/officeDocument/2006/relationships/hyperlink" Target="https://data.nal.usda.gov/" TargetMode="External"/><Relationship Id="rId35" Type="http://schemas.openxmlformats.org/officeDocument/2006/relationships/hyperlink" Target="https://www.ers.usda.gov/publications/pub-details/?pubid=99294" TargetMode="External"/><Relationship Id="rId43" Type="http://schemas.openxmlformats.org/officeDocument/2006/relationships/hyperlink" Target="https://www.worldobesity.org/" TargetMode="External"/><Relationship Id="rId48" Type="http://schemas.openxmlformats.org/officeDocument/2006/relationships/hyperlink" Target="http://www.topchildcollaboration.or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ccor.org/internalresources/" TargetMode="External"/><Relationship Id="rId17" Type="http://schemas.openxmlformats.org/officeDocument/2006/relationships/hyperlink" Target="https://www.nccor.org/wp-content/uploads/2021/11/NCCOR-Youth-ATS-White-Paper.pdf" TargetMode="External"/><Relationship Id="rId25" Type="http://schemas.openxmlformats.org/officeDocument/2006/relationships/hyperlink" Target="https://www.countyhealthrankings.org/" TargetMode="External"/><Relationship Id="rId33" Type="http://schemas.openxmlformats.org/officeDocument/2006/relationships/hyperlink" Target="https://www.ers.usda.gov/data-products/food-environment-atlas/" TargetMode="External"/><Relationship Id="rId38" Type="http://schemas.openxmlformats.org/officeDocument/2006/relationships/hyperlink" Target="https://www.nifa.usda.gov/data/data-gateway" TargetMode="External"/><Relationship Id="rId46" Type="http://schemas.openxmlformats.org/officeDocument/2006/relationships/hyperlink" Target="https://www.worldobesity.org/membersarea/global-atlas-on-childhood-obesity" TargetMode="External"/><Relationship Id="rId20" Type="http://schemas.openxmlformats.org/officeDocument/2006/relationships/hyperlink" Target="https://www.cdc.gov/obesity/initiatives/codi/community-and-clinical-data-initiative.html" TargetMode="External"/><Relationship Id="rId41" Type="http://schemas.openxmlformats.org/officeDocument/2006/relationships/hyperlink" Target="https://jamanetwork.com/journals/jama/fullarticle/2783690"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1753-6405.12628" TargetMode="External"/><Relationship Id="rId2" Type="http://schemas.openxmlformats.org/officeDocument/2006/relationships/hyperlink" Target="https://doi.org/10.1002/oby.21544" TargetMode="External"/><Relationship Id="rId1" Type="http://schemas.openxmlformats.org/officeDocument/2006/relationships/hyperlink" Target="https://onlinelibrary.wiley.com/doi/full/10.1002/oby.21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f5106b9-423b-4a1b-befe-8b2f16b74c24">
      <UserInfo>
        <DisplayName>Todd Phillips</DisplayName>
        <AccountId>49</AccountId>
        <AccountType/>
      </UserInfo>
      <UserInfo>
        <DisplayName>LaVerne Canady</DisplayName>
        <AccountId>25</AccountId>
        <AccountType/>
      </UserInfo>
      <UserInfo>
        <DisplayName>Hatidza Zaganjor</DisplayName>
        <AccountId>518</AccountId>
        <AccountType/>
      </UserInfo>
      <UserInfo>
        <DisplayName>Yany Valdes</DisplayName>
        <AccountId>283</AccountId>
        <AccountType/>
      </UserInfo>
      <UserInfo>
        <DisplayName>Miranda Brna</DisplayName>
        <AccountId>426</AccountId>
        <AccountType/>
      </UserInfo>
      <UserInfo>
        <DisplayName>Emilie Ryan-Castillo</DisplayName>
        <AccountId>491</AccountId>
        <AccountType/>
      </UserInfo>
      <UserInfo>
        <DisplayName>Van Do</DisplayName>
        <AccountId>2566</AccountId>
        <AccountType/>
      </UserInfo>
      <UserInfo>
        <DisplayName>Alice Gribbin</DisplayName>
        <AccountId>2295</AccountId>
        <AccountType/>
      </UserInfo>
      <UserInfo>
        <DisplayName>Amanda Sharfman</DisplayName>
        <AccountId>287</AccountId>
        <AccountType/>
      </UserInfo>
      <UserInfo>
        <DisplayName>Copy Lab</DisplayName>
        <AccountId>504</AccountId>
        <AccountType/>
      </UserInfo>
      <UserInfo>
        <DisplayName>Melissa Van Orman</DisplayName>
        <AccountId>3986</AccountId>
        <AccountType/>
      </UserInfo>
      <UserInfo>
        <DisplayName>Karen Hilyard</DisplayName>
        <AccountId>320</AccountId>
        <AccountType/>
      </UserInfo>
      <UserInfo>
        <DisplayName>Lisa Maina</DisplayName>
        <AccountId>4439</AccountId>
        <AccountType/>
      </UserInfo>
      <UserInfo>
        <DisplayName>Robyn Taylor</DisplayName>
        <AccountId>2382</AccountId>
        <AccountType/>
      </UserInfo>
      <UserInfo>
        <DisplayName>Rachel Grimsland</DisplayName>
        <AccountId>4799</AccountId>
        <AccountType/>
      </UserInfo>
      <UserInfo>
        <DisplayName>Melissa Talbot</DisplayName>
        <AccountId>59</AccountId>
        <AccountType/>
      </UserInfo>
      <UserInfo>
        <DisplayName>Dianne Polome</DisplayName>
        <AccountId>2083</AccountId>
        <AccountType/>
      </UserInfo>
      <UserInfo>
        <DisplayName>Song Xiong</DisplayName>
        <AccountId>4473</AccountId>
        <AccountType/>
      </UserInfo>
    </SharedWithUsers>
    <TaxCatchAll xmlns="df5106b9-423b-4a1b-befe-8b2f16b74c24" xsi:nil="true"/>
    <lcf76f155ced4ddcb4097134ff3c332f xmlns="c117d012-6039-4289-994f-4ec7bed8e18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AF1829EFA254F95FF5C6D73A2DF6D" ma:contentTypeVersion="20" ma:contentTypeDescription="Create a new document." ma:contentTypeScope="" ma:versionID="df32f2b4db7beae58469969b2d8212da">
  <xsd:schema xmlns:xsd="http://www.w3.org/2001/XMLSchema" xmlns:xs="http://www.w3.org/2001/XMLSchema" xmlns:p="http://schemas.microsoft.com/office/2006/metadata/properties" xmlns:ns1="http://schemas.microsoft.com/sharepoint/v3" xmlns:ns2="df5106b9-423b-4a1b-befe-8b2f16b74c24" xmlns:ns3="c117d012-6039-4289-994f-4ec7bed8e182" targetNamespace="http://schemas.microsoft.com/office/2006/metadata/properties" ma:root="true" ma:fieldsID="5c1722015374af28630faf74fcb78677" ns1:_="" ns2:_="" ns3:_="">
    <xsd:import namespace="http://schemas.microsoft.com/sharepoint/v3"/>
    <xsd:import namespace="df5106b9-423b-4a1b-befe-8b2f16b74c24"/>
    <xsd:import namespace="c117d012-6039-4289-994f-4ec7bed8e1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e995299f-a4cb-4a47-a679-ab66c10b24f2}" ma:internalName="TaxCatchAll" ma:showField="CatchAllData" ma:web="df5106b9-423b-4a1b-befe-8b2f16b74c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7d012-6039-4289-994f-4ec7bed8e1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6DA8A-862B-4B51-A329-6D5F6AD1E181}">
  <ds:schemaRefs>
    <ds:schemaRef ds:uri="http://schemas.openxmlformats.org/officeDocument/2006/bibliography"/>
  </ds:schemaRefs>
</ds:datastoreItem>
</file>

<file path=customXml/itemProps2.xml><?xml version="1.0" encoding="utf-8"?>
<ds:datastoreItem xmlns:ds="http://schemas.openxmlformats.org/officeDocument/2006/customXml" ds:itemID="{35FFC6E9-6177-45FF-9AD6-2A77ABF3EB91}">
  <ds:schemaRefs>
    <ds:schemaRef ds:uri="c117d012-6039-4289-994f-4ec7bed8e182"/>
    <ds:schemaRef ds:uri="http://schemas.openxmlformats.org/package/2006/metadata/core-properties"/>
    <ds:schemaRef ds:uri="df5106b9-423b-4a1b-befe-8b2f16b74c24"/>
    <ds:schemaRef ds:uri="http://schemas.microsoft.com/office/infopath/2007/PartnerControls"/>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1B3C9E4-B680-4606-8E4C-43EF1E6C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5106b9-423b-4a1b-befe-8b2f16b74c24"/>
    <ds:schemaRef ds:uri="c117d012-6039-4289-994f-4ec7bed8e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7A82F-4ADF-4254-AD38-86B3576AE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31798</CharactersWithSpaces>
  <SharedDoc>false</SharedDoc>
  <HLinks>
    <vt:vector size="246" baseType="variant">
      <vt:variant>
        <vt:i4>4456453</vt:i4>
      </vt:variant>
      <vt:variant>
        <vt:i4>111</vt:i4>
      </vt:variant>
      <vt:variant>
        <vt:i4>0</vt:i4>
      </vt:variant>
      <vt:variant>
        <vt:i4>5</vt:i4>
      </vt:variant>
      <vt:variant>
        <vt:lpwstr>http://www.topchildcollaboration.org/</vt:lpwstr>
      </vt:variant>
      <vt:variant>
        <vt:lpwstr/>
      </vt:variant>
      <vt:variant>
        <vt:i4>7471161</vt:i4>
      </vt:variant>
      <vt:variant>
        <vt:i4>108</vt:i4>
      </vt:variant>
      <vt:variant>
        <vt:i4>0</vt:i4>
      </vt:variant>
      <vt:variant>
        <vt:i4>5</vt:i4>
      </vt:variant>
      <vt:variant>
        <vt:lpwstr>https://earlychildhoodobesity.com/</vt:lpwstr>
      </vt:variant>
      <vt:variant>
        <vt:lpwstr/>
      </vt:variant>
      <vt:variant>
        <vt:i4>3211388</vt:i4>
      </vt:variant>
      <vt:variant>
        <vt:i4>105</vt:i4>
      </vt:variant>
      <vt:variant>
        <vt:i4>0</vt:i4>
      </vt:variant>
      <vt:variant>
        <vt:i4>5</vt:i4>
      </vt:variant>
      <vt:variant>
        <vt:lpwstr>https://www.worldobesity.org/membersarea/global-atlas-on-childhood-obesity</vt:lpwstr>
      </vt:variant>
      <vt:variant>
        <vt:lpwstr/>
      </vt:variant>
      <vt:variant>
        <vt:i4>6684783</vt:i4>
      </vt:variant>
      <vt:variant>
        <vt:i4>102</vt:i4>
      </vt:variant>
      <vt:variant>
        <vt:i4>0</vt:i4>
      </vt:variant>
      <vt:variant>
        <vt:i4>5</vt:i4>
      </vt:variant>
      <vt:variant>
        <vt:lpwstr>https://data.worldobesity.org/</vt:lpwstr>
      </vt:variant>
      <vt:variant>
        <vt:lpwstr/>
      </vt:variant>
      <vt:variant>
        <vt:i4>1900555</vt:i4>
      </vt:variant>
      <vt:variant>
        <vt:i4>99</vt:i4>
      </vt:variant>
      <vt:variant>
        <vt:i4>0</vt:i4>
      </vt:variant>
      <vt:variant>
        <vt:i4>5</vt:i4>
      </vt:variant>
      <vt:variant>
        <vt:lpwstr>https://www.worldobesity.org/resources/resource-library/world-obesity-atlas-2022</vt:lpwstr>
      </vt:variant>
      <vt:variant>
        <vt:lpwstr/>
      </vt:variant>
      <vt:variant>
        <vt:i4>5832728</vt:i4>
      </vt:variant>
      <vt:variant>
        <vt:i4>96</vt:i4>
      </vt:variant>
      <vt:variant>
        <vt:i4>0</vt:i4>
      </vt:variant>
      <vt:variant>
        <vt:i4>5</vt:i4>
      </vt:variant>
      <vt:variant>
        <vt:lpwstr>https://www.worldobesity.org/</vt:lpwstr>
      </vt:variant>
      <vt:variant>
        <vt:lpwstr/>
      </vt:variant>
      <vt:variant>
        <vt:i4>917520</vt:i4>
      </vt:variant>
      <vt:variant>
        <vt:i4>93</vt:i4>
      </vt:variant>
      <vt:variant>
        <vt:i4>0</vt:i4>
      </vt:variant>
      <vt:variant>
        <vt:i4>5</vt:i4>
      </vt:variant>
      <vt:variant>
        <vt:lpwstr>https://www.first5la.org/</vt:lpwstr>
      </vt:variant>
      <vt:variant>
        <vt:lpwstr/>
      </vt:variant>
      <vt:variant>
        <vt:i4>4456512</vt:i4>
      </vt:variant>
      <vt:variant>
        <vt:i4>90</vt:i4>
      </vt:variant>
      <vt:variant>
        <vt:i4>0</vt:i4>
      </vt:variant>
      <vt:variant>
        <vt:i4>5</vt:i4>
      </vt:variant>
      <vt:variant>
        <vt:lpwstr>https://jamanetwork.com/journals/jama/fullarticle/2783690</vt:lpwstr>
      </vt:variant>
      <vt:variant>
        <vt:lpwstr/>
      </vt:variant>
      <vt:variant>
        <vt:i4>1507393</vt:i4>
      </vt:variant>
      <vt:variant>
        <vt:i4>87</vt:i4>
      </vt:variant>
      <vt:variant>
        <vt:i4>0</vt:i4>
      </vt:variant>
      <vt:variant>
        <vt:i4>5</vt:i4>
      </vt:variant>
      <vt:variant>
        <vt:lpwstr>https://www.ncbi.nlm.nih.gov/pmc/articles/PMC8511973/</vt:lpwstr>
      </vt:variant>
      <vt:variant>
        <vt:lpwstr/>
      </vt:variant>
      <vt:variant>
        <vt:i4>2097213</vt:i4>
      </vt:variant>
      <vt:variant>
        <vt:i4>84</vt:i4>
      </vt:variant>
      <vt:variant>
        <vt:i4>0</vt:i4>
      </vt:variant>
      <vt:variant>
        <vt:i4>5</vt:i4>
      </vt:variant>
      <vt:variant>
        <vt:lpwstr>https://www.mturk.com/</vt:lpwstr>
      </vt:variant>
      <vt:variant>
        <vt:lpwstr/>
      </vt:variant>
      <vt:variant>
        <vt:i4>4194399</vt:i4>
      </vt:variant>
      <vt:variant>
        <vt:i4>81</vt:i4>
      </vt:variant>
      <vt:variant>
        <vt:i4>0</vt:i4>
      </vt:variant>
      <vt:variant>
        <vt:i4>5</vt:i4>
      </vt:variant>
      <vt:variant>
        <vt:lpwstr>https://www.ers.usda.gov/newsroom/trending-topics/data-training-webinars/</vt:lpwstr>
      </vt:variant>
      <vt:variant>
        <vt:lpwstr/>
      </vt:variant>
      <vt:variant>
        <vt:i4>6750270</vt:i4>
      </vt:variant>
      <vt:variant>
        <vt:i4>78</vt:i4>
      </vt:variant>
      <vt:variant>
        <vt:i4>0</vt:i4>
      </vt:variant>
      <vt:variant>
        <vt:i4>5</vt:i4>
      </vt:variant>
      <vt:variant>
        <vt:lpwstr>https://www.nifa.usda.gov/data/data-gateway</vt:lpwstr>
      </vt:variant>
      <vt:variant>
        <vt:lpwstr/>
      </vt:variant>
      <vt:variant>
        <vt:i4>524367</vt:i4>
      </vt:variant>
      <vt:variant>
        <vt:i4>75</vt:i4>
      </vt:variant>
      <vt:variant>
        <vt:i4>0</vt:i4>
      </vt:variant>
      <vt:variant>
        <vt:i4>5</vt:i4>
      </vt:variant>
      <vt:variant>
        <vt:lpwstr>https://www.aplu.org/members/commissions/food-environment-and-renewable-resources/board-on-agriculture-assembly/cooperative-extension-section/ecop-members/ecop-documents/2021 EquityHealth Full.pdf</vt:lpwstr>
      </vt:variant>
      <vt:variant>
        <vt:lpwstr/>
      </vt:variant>
      <vt:variant>
        <vt:i4>3735655</vt:i4>
      </vt:variant>
      <vt:variant>
        <vt:i4>72</vt:i4>
      </vt:variant>
      <vt:variant>
        <vt:i4>0</vt:i4>
      </vt:variant>
      <vt:variant>
        <vt:i4>5</vt:i4>
      </vt:variant>
      <vt:variant>
        <vt:lpwstr>http://www.ers.usda.gov/foodaps</vt:lpwstr>
      </vt:variant>
      <vt:variant>
        <vt:lpwstr/>
      </vt:variant>
      <vt:variant>
        <vt:i4>7536701</vt:i4>
      </vt:variant>
      <vt:variant>
        <vt:i4>69</vt:i4>
      </vt:variant>
      <vt:variant>
        <vt:i4>0</vt:i4>
      </vt:variant>
      <vt:variant>
        <vt:i4>5</vt:i4>
      </vt:variant>
      <vt:variant>
        <vt:lpwstr>https://www.ers.usda.gov/publications/pub-details/?pubid=99294</vt:lpwstr>
      </vt:variant>
      <vt:variant>
        <vt:lpwstr/>
      </vt:variant>
      <vt:variant>
        <vt:i4>3080304</vt:i4>
      </vt:variant>
      <vt:variant>
        <vt:i4>66</vt:i4>
      </vt:variant>
      <vt:variant>
        <vt:i4>0</vt:i4>
      </vt:variant>
      <vt:variant>
        <vt:i4>5</vt:i4>
      </vt:variant>
      <vt:variant>
        <vt:lpwstr>https://www.ers.usda.gov/data-products/food-security-in-the-united-states/</vt:lpwstr>
      </vt:variant>
      <vt:variant>
        <vt:lpwstr/>
      </vt:variant>
      <vt:variant>
        <vt:i4>7602291</vt:i4>
      </vt:variant>
      <vt:variant>
        <vt:i4>63</vt:i4>
      </vt:variant>
      <vt:variant>
        <vt:i4>0</vt:i4>
      </vt:variant>
      <vt:variant>
        <vt:i4>5</vt:i4>
      </vt:variant>
      <vt:variant>
        <vt:lpwstr>https://www.ers.usda.gov/data-products/food-environment-atlas/</vt:lpwstr>
      </vt:variant>
      <vt:variant>
        <vt:lpwstr/>
      </vt:variant>
      <vt:variant>
        <vt:i4>3604580</vt:i4>
      </vt:variant>
      <vt:variant>
        <vt:i4>60</vt:i4>
      </vt:variant>
      <vt:variant>
        <vt:i4>0</vt:i4>
      </vt:variant>
      <vt:variant>
        <vt:i4>5</vt:i4>
      </vt:variant>
      <vt:variant>
        <vt:lpwstr>https://nap.nationalacademies.org/catalog/25657/a-consumer-food-data-system-for-2030-and-beyond</vt:lpwstr>
      </vt:variant>
      <vt:variant>
        <vt:lpwstr/>
      </vt:variant>
      <vt:variant>
        <vt:i4>1507346</vt:i4>
      </vt:variant>
      <vt:variant>
        <vt:i4>57</vt:i4>
      </vt:variant>
      <vt:variant>
        <vt:i4>0</vt:i4>
      </vt:variant>
      <vt:variant>
        <vt:i4>5</vt:i4>
      </vt:variant>
      <vt:variant>
        <vt:lpwstr>https://scinet.usda.gov/</vt:lpwstr>
      </vt:variant>
      <vt:variant>
        <vt:lpwstr/>
      </vt:variant>
      <vt:variant>
        <vt:i4>7077938</vt:i4>
      </vt:variant>
      <vt:variant>
        <vt:i4>54</vt:i4>
      </vt:variant>
      <vt:variant>
        <vt:i4>0</vt:i4>
      </vt:variant>
      <vt:variant>
        <vt:i4>5</vt:i4>
      </vt:variant>
      <vt:variant>
        <vt:lpwstr>https://data.nal.usda.gov/</vt:lpwstr>
      </vt:variant>
      <vt:variant>
        <vt:lpwstr/>
      </vt:variant>
      <vt:variant>
        <vt:i4>1507351</vt:i4>
      </vt:variant>
      <vt:variant>
        <vt:i4>51</vt:i4>
      </vt:variant>
      <vt:variant>
        <vt:i4>0</vt:i4>
      </vt:variant>
      <vt:variant>
        <vt:i4>5</vt:i4>
      </vt:variant>
      <vt:variant>
        <vt:lpwstr>https://fdc.nal.usda.gov/</vt:lpwstr>
      </vt:variant>
      <vt:variant>
        <vt:lpwstr/>
      </vt:variant>
      <vt:variant>
        <vt:i4>6291510</vt:i4>
      </vt:variant>
      <vt:variant>
        <vt:i4>48</vt:i4>
      </vt:variant>
      <vt:variant>
        <vt:i4>0</vt:i4>
      </vt:variant>
      <vt:variant>
        <vt:i4>5</vt:i4>
      </vt:variant>
      <vt:variant>
        <vt:lpwstr>https://academyhealth.org/about/programs/health-data-action</vt:lpwstr>
      </vt:variant>
      <vt:variant>
        <vt:lpwstr/>
      </vt:variant>
      <vt:variant>
        <vt:i4>4325457</vt:i4>
      </vt:variant>
      <vt:variant>
        <vt:i4>45</vt:i4>
      </vt:variant>
      <vt:variant>
        <vt:i4>0</vt:i4>
      </vt:variant>
      <vt:variant>
        <vt:i4>5</vt:i4>
      </vt:variant>
      <vt:variant>
        <vt:lpwstr>https://phnci.org/cross-sector/all-in</vt:lpwstr>
      </vt:variant>
      <vt:variant>
        <vt:lpwstr/>
      </vt:variant>
      <vt:variant>
        <vt:i4>589891</vt:i4>
      </vt:variant>
      <vt:variant>
        <vt:i4>42</vt:i4>
      </vt:variant>
      <vt:variant>
        <vt:i4>0</vt:i4>
      </vt:variant>
      <vt:variant>
        <vt:i4>5</vt:i4>
      </vt:variant>
      <vt:variant>
        <vt:lpwstr>https://dashconnect.org/</vt:lpwstr>
      </vt:variant>
      <vt:variant>
        <vt:lpwstr/>
      </vt:variant>
      <vt:variant>
        <vt:i4>5111825</vt:i4>
      </vt:variant>
      <vt:variant>
        <vt:i4>39</vt:i4>
      </vt:variant>
      <vt:variant>
        <vt:i4>0</vt:i4>
      </vt:variant>
      <vt:variant>
        <vt:i4>5</vt:i4>
      </vt:variant>
      <vt:variant>
        <vt:lpwstr>https://www.countyhealthrankings.org/</vt:lpwstr>
      </vt:variant>
      <vt:variant>
        <vt:lpwstr/>
      </vt:variant>
      <vt:variant>
        <vt:i4>4194383</vt:i4>
      </vt:variant>
      <vt:variant>
        <vt:i4>36</vt:i4>
      </vt:variant>
      <vt:variant>
        <vt:i4>0</vt:i4>
      </vt:variant>
      <vt:variant>
        <vt:i4>5</vt:i4>
      </vt:variant>
      <vt:variant>
        <vt:lpwstr>https://databrowser.researchallofus.org/</vt:lpwstr>
      </vt:variant>
      <vt:variant>
        <vt:lpwstr/>
      </vt:variant>
      <vt:variant>
        <vt:i4>3670073</vt:i4>
      </vt:variant>
      <vt:variant>
        <vt:i4>33</vt:i4>
      </vt:variant>
      <vt:variant>
        <vt:i4>0</vt:i4>
      </vt:variant>
      <vt:variant>
        <vt:i4>5</vt:i4>
      </vt:variant>
      <vt:variant>
        <vt:lpwstr>http://researchallofus.org/</vt:lpwstr>
      </vt:variant>
      <vt:variant>
        <vt:lpwstr/>
      </vt:variant>
      <vt:variant>
        <vt:i4>5111887</vt:i4>
      </vt:variant>
      <vt:variant>
        <vt:i4>30</vt:i4>
      </vt:variant>
      <vt:variant>
        <vt:i4>0</vt:i4>
      </vt:variant>
      <vt:variant>
        <vt:i4>5</vt:i4>
      </vt:variant>
      <vt:variant>
        <vt:lpwstr>https://allofus.nih.gov/</vt:lpwstr>
      </vt:variant>
      <vt:variant>
        <vt:lpwstr/>
      </vt:variant>
      <vt:variant>
        <vt:i4>2818078</vt:i4>
      </vt:variant>
      <vt:variant>
        <vt:i4>27</vt:i4>
      </vt:variant>
      <vt:variant>
        <vt:i4>0</vt:i4>
      </vt:variant>
      <vt:variant>
        <vt:i4>5</vt:i4>
      </vt:variant>
      <vt:variant>
        <vt:lpwstr>https://www.cdc.gov/nccdphp/dnpao/data-trends-maps/help/npao_dtm/using.html</vt:lpwstr>
      </vt:variant>
      <vt:variant>
        <vt:lpwstr/>
      </vt:variant>
      <vt:variant>
        <vt:i4>4849743</vt:i4>
      </vt:variant>
      <vt:variant>
        <vt:i4>24</vt:i4>
      </vt:variant>
      <vt:variant>
        <vt:i4>0</vt:i4>
      </vt:variant>
      <vt:variant>
        <vt:i4>5</vt:i4>
      </vt:variant>
      <vt:variant>
        <vt:lpwstr>https://www.cdc.gov/obesity/initiatives/codi/community-and-clinical-data-initiative.html</vt:lpwstr>
      </vt:variant>
      <vt:variant>
        <vt:lpwstr/>
      </vt:variant>
      <vt:variant>
        <vt:i4>1441811</vt:i4>
      </vt:variant>
      <vt:variant>
        <vt:i4>21</vt:i4>
      </vt:variant>
      <vt:variant>
        <vt:i4>0</vt:i4>
      </vt:variant>
      <vt:variant>
        <vt:i4>5</vt:i4>
      </vt:variant>
      <vt:variant>
        <vt:lpwstr>https://github.com/carriedaymont/growthcleanr</vt:lpwstr>
      </vt:variant>
      <vt:variant>
        <vt:lpwstr/>
      </vt:variant>
      <vt:variant>
        <vt:i4>2621495</vt:i4>
      </vt:variant>
      <vt:variant>
        <vt:i4>18</vt:i4>
      </vt:variant>
      <vt:variant>
        <vt:i4>0</vt:i4>
      </vt:variant>
      <vt:variant>
        <vt:i4>5</vt:i4>
      </vt:variant>
      <vt:variant>
        <vt:lpwstr>https://www.frontiersin.org/articles/10.3389/fpubh.2022.888368/full</vt:lpwstr>
      </vt:variant>
      <vt:variant>
        <vt:lpwstr/>
      </vt:variant>
      <vt:variant>
        <vt:i4>5767245</vt:i4>
      </vt:variant>
      <vt:variant>
        <vt:i4>15</vt:i4>
      </vt:variant>
      <vt:variant>
        <vt:i4>0</vt:i4>
      </vt:variant>
      <vt:variant>
        <vt:i4>5</vt:i4>
      </vt:variant>
      <vt:variant>
        <vt:lpwstr>https://www.nccor.org/wp-content/uploads/2021/11/NCCOR-Youth-ATS-White-Paper.pdf</vt:lpwstr>
      </vt:variant>
      <vt:variant>
        <vt:lpwstr/>
      </vt:variant>
      <vt:variant>
        <vt:i4>19</vt:i4>
      </vt:variant>
      <vt:variant>
        <vt:i4>12</vt:i4>
      </vt:variant>
      <vt:variant>
        <vt:i4>0</vt:i4>
      </vt:variant>
      <vt:variant>
        <vt:i4>5</vt:i4>
      </vt:variant>
      <vt:variant>
        <vt:lpwstr>https://profpubs.com/index.php/jheal/article/view/24</vt:lpwstr>
      </vt:variant>
      <vt:variant>
        <vt:lpwstr/>
      </vt:variant>
      <vt:variant>
        <vt:i4>1572868</vt:i4>
      </vt:variant>
      <vt:variant>
        <vt:i4>9</vt:i4>
      </vt:variant>
      <vt:variant>
        <vt:i4>0</vt:i4>
      </vt:variant>
      <vt:variant>
        <vt:i4>5</vt:i4>
      </vt:variant>
      <vt:variant>
        <vt:lpwstr>https://academic.oup.com/tbm/advance-article/doi/10.1093/tbm/ibac023/6602078?login=false</vt:lpwstr>
      </vt:variant>
      <vt:variant>
        <vt:lpwstr/>
      </vt:variant>
      <vt:variant>
        <vt:i4>1507400</vt:i4>
      </vt:variant>
      <vt:variant>
        <vt:i4>6</vt:i4>
      </vt:variant>
      <vt:variant>
        <vt:i4>0</vt:i4>
      </vt:variant>
      <vt:variant>
        <vt:i4>5</vt:i4>
      </vt:variant>
      <vt:variant>
        <vt:lpwstr>https://www.nccor.org/nccor-tools/create-thriving-activity-friendly-communities/</vt:lpwstr>
      </vt:variant>
      <vt:variant>
        <vt:lpwstr/>
      </vt:variant>
      <vt:variant>
        <vt:i4>786525</vt:i4>
      </vt:variant>
      <vt:variant>
        <vt:i4>3</vt:i4>
      </vt:variant>
      <vt:variant>
        <vt:i4>0</vt:i4>
      </vt:variant>
      <vt:variant>
        <vt:i4>5</vt:i4>
      </vt:variant>
      <vt:variant>
        <vt:lpwstr>https://www.nccor.org/internalresources/</vt:lpwstr>
      </vt:variant>
      <vt:variant>
        <vt:lpwstr/>
      </vt:variant>
      <vt:variant>
        <vt:i4>6619184</vt:i4>
      </vt:variant>
      <vt:variant>
        <vt:i4>0</vt:i4>
      </vt:variant>
      <vt:variant>
        <vt:i4>0</vt:i4>
      </vt:variant>
      <vt:variant>
        <vt:i4>5</vt:i4>
      </vt:variant>
      <vt:variant>
        <vt:lpwstr>https://zoom.us/rec/share/OYtyMf2Mx9gWvSxsc79PGq7Rmp4nh8I-9t0OnWw3XhOJD7ZSFOAZ10KXKuj-VMAv.RVIm9gHzjhzPeLy5?startTime=1655316196000</vt:lpwstr>
      </vt:variant>
      <vt:variant>
        <vt:lpwstr/>
      </vt:variant>
      <vt:variant>
        <vt:i4>4063349</vt:i4>
      </vt:variant>
      <vt:variant>
        <vt:i4>6</vt:i4>
      </vt:variant>
      <vt:variant>
        <vt:i4>0</vt:i4>
      </vt:variant>
      <vt:variant>
        <vt:i4>5</vt:i4>
      </vt:variant>
      <vt:variant>
        <vt:lpwstr>https://doi.org/10.1111/1753-6405.12628</vt:lpwstr>
      </vt:variant>
      <vt:variant>
        <vt:lpwstr/>
      </vt:variant>
      <vt:variant>
        <vt:i4>5898313</vt:i4>
      </vt:variant>
      <vt:variant>
        <vt:i4>3</vt:i4>
      </vt:variant>
      <vt:variant>
        <vt:i4>0</vt:i4>
      </vt:variant>
      <vt:variant>
        <vt:i4>5</vt:i4>
      </vt:variant>
      <vt:variant>
        <vt:lpwstr>https://doi.org/10.1002/oby.21544</vt:lpwstr>
      </vt:variant>
      <vt:variant>
        <vt:lpwstr/>
      </vt:variant>
      <vt:variant>
        <vt:i4>3604520</vt:i4>
      </vt:variant>
      <vt:variant>
        <vt:i4>0</vt:i4>
      </vt:variant>
      <vt:variant>
        <vt:i4>0</vt:i4>
      </vt:variant>
      <vt:variant>
        <vt:i4>5</vt:i4>
      </vt:variant>
      <vt:variant>
        <vt:lpwstr>https://onlinelibrary.wiley.com/doi/full/10.1002/oby.21544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Ellesse</dc:creator>
  <cp:keywords/>
  <dc:description/>
  <cp:lastModifiedBy>Rachel Grimsland</cp:lastModifiedBy>
  <cp:revision>2</cp:revision>
  <cp:lastPrinted>2018-09-14T03:35:00Z</cp:lastPrinted>
  <dcterms:created xsi:type="dcterms:W3CDTF">2022-07-20T14:02:00Z</dcterms:created>
  <dcterms:modified xsi:type="dcterms:W3CDTF">2022-07-20T14:02:00Z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0x010100580AF1829EFA254F95FF5C6D73A2DF6D</vt:lpwstr>
  </property>
  <property fmtid="{D5CDD505-2E9C-101B-9397-08002B2CF9AE}" pid="3" name="MediaServiceImageTags">
    <vt:lpwstr/>
  </property>
</Properties>
</file>